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DFF0F" w14:textId="627A1F1E" w:rsidR="0007659A" w:rsidRDefault="005242AA">
      <w:r>
        <w:rPr>
          <w:noProof/>
        </w:rPr>
        <w:drawing>
          <wp:anchor distT="0" distB="0" distL="114300" distR="114300" simplePos="0" relativeHeight="251683840" behindDoc="1" locked="0" layoutInCell="1" allowOverlap="1" wp14:anchorId="0208BD4F" wp14:editId="3354DA34">
            <wp:simplePos x="0" y="0"/>
            <wp:positionH relativeFrom="column">
              <wp:posOffset>-1073454</wp:posOffset>
            </wp:positionH>
            <wp:positionV relativeFrom="paragraph">
              <wp:posOffset>-891540</wp:posOffset>
            </wp:positionV>
            <wp:extent cx="7540369" cy="10670572"/>
            <wp:effectExtent l="0" t="0" r="381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cstate="email">
                      <a:extLst>
                        <a:ext uri="{28A0092B-C50C-407E-A947-70E740481C1C}">
                          <a14:useLocalDpi xmlns:a14="http://schemas.microsoft.com/office/drawing/2010/main"/>
                        </a:ext>
                      </a:extLst>
                    </a:blip>
                    <a:stretch>
                      <a:fillRect/>
                    </a:stretch>
                  </pic:blipFill>
                  <pic:spPr>
                    <a:xfrm>
                      <a:off x="0" y="0"/>
                      <a:ext cx="7540369" cy="10670572"/>
                    </a:xfrm>
                    <a:prstGeom prst="rect">
                      <a:avLst/>
                    </a:prstGeom>
                  </pic:spPr>
                </pic:pic>
              </a:graphicData>
            </a:graphic>
            <wp14:sizeRelH relativeFrom="page">
              <wp14:pctWidth>0</wp14:pctWidth>
            </wp14:sizeRelH>
            <wp14:sizeRelV relativeFrom="page">
              <wp14:pctHeight>0</wp14:pctHeight>
            </wp14:sizeRelV>
          </wp:anchor>
        </w:drawing>
      </w:r>
    </w:p>
    <w:p w14:paraId="61687BF2" w14:textId="785CFFF2" w:rsidR="00870600" w:rsidRDefault="00870600"/>
    <w:p w14:paraId="0067CC75" w14:textId="4DF1821E" w:rsidR="00870600" w:rsidRDefault="00252897">
      <w:r>
        <w:rPr>
          <w:noProof/>
        </w:rPr>
        <mc:AlternateContent>
          <mc:Choice Requires="wps">
            <w:drawing>
              <wp:anchor distT="0" distB="0" distL="114300" distR="114300" simplePos="0" relativeHeight="251685888" behindDoc="0" locked="0" layoutInCell="1" allowOverlap="1" wp14:anchorId="7E2AB997" wp14:editId="098E09EB">
                <wp:simplePos x="0" y="0"/>
                <wp:positionH relativeFrom="column">
                  <wp:posOffset>-375285</wp:posOffset>
                </wp:positionH>
                <wp:positionV relativeFrom="paragraph">
                  <wp:posOffset>237794</wp:posOffset>
                </wp:positionV>
                <wp:extent cx="2733675" cy="1603375"/>
                <wp:effectExtent l="0" t="0" r="9525" b="0"/>
                <wp:wrapNone/>
                <wp:docPr id="5" name="Cuadro de texto 5"/>
                <wp:cNvGraphicFramePr/>
                <a:graphic xmlns:a="http://schemas.openxmlformats.org/drawingml/2006/main">
                  <a:graphicData uri="http://schemas.microsoft.com/office/word/2010/wordprocessingShape">
                    <wps:wsp>
                      <wps:cNvSpPr txBox="1"/>
                      <wps:spPr>
                        <a:xfrm>
                          <a:off x="0" y="0"/>
                          <a:ext cx="2733675" cy="1603375"/>
                        </a:xfrm>
                        <a:prstGeom prst="rect">
                          <a:avLst/>
                        </a:prstGeom>
                        <a:noFill/>
                        <a:ln w="6350">
                          <a:noFill/>
                        </a:ln>
                      </wps:spPr>
                      <wps:txbx>
                        <w:txbxContent>
                          <w:p w14:paraId="44EC0DCB" w14:textId="77777777" w:rsidR="005242AA" w:rsidRPr="00732090" w:rsidRDefault="005242AA" w:rsidP="005242AA">
                            <w:pPr>
                              <w:rPr>
                                <w:rFonts w:ascii="Century Gothic" w:hAnsi="Century Gothic"/>
                                <w:b/>
                                <w:bCs/>
                                <w:color w:val="646482"/>
                                <w:sz w:val="100"/>
                                <w:szCs w:val="100"/>
                                <w:lang w:val="es-ES"/>
                              </w:rPr>
                            </w:pPr>
                            <w:r>
                              <w:rPr>
                                <w:rFonts w:ascii="Century Gothic" w:hAnsi="Century Gothic"/>
                                <w:b/>
                                <w:bCs/>
                                <w:color w:val="646482"/>
                                <w:sz w:val="100"/>
                                <w:szCs w:val="100"/>
                                <w:lang w:val="es-ES"/>
                              </w:rPr>
                              <w:t>Boletín Técnico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2AB997" id="_x0000_t202" coordsize="21600,21600" o:spt="202" path="m,l,21600r21600,l21600,xe">
                <v:stroke joinstyle="miter"/>
                <v:path gradientshapeok="t" o:connecttype="rect"/>
              </v:shapetype>
              <v:shape id="Cuadro de texto 5" o:spid="_x0000_s1026" type="#_x0000_t202" style="position:absolute;margin-left:-29.55pt;margin-top:18.7pt;width:215.25pt;height:126.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" filled="f" stroked="f" strokeweight=".5pt">
                <v:textbox inset="0,0,0,0">
                  <w:txbxContent>
                    <w:p w14:paraId="44EC0DCB" w14:textId="77777777" w:rsidR="005242AA" w:rsidRPr="00732090" w:rsidRDefault="005242AA" w:rsidP="005242AA">
                      <w:pPr>
                        <w:rPr>
                          <w:rFonts w:ascii="Century Gothic" w:hAnsi="Century Gothic"/>
                          <w:b/>
                          <w:bCs/>
                          <w:color w:val="646482"/>
                          <w:sz w:val="100"/>
                          <w:szCs w:val="100"/>
                          <w:lang w:val="es-ES"/>
                        </w:rPr>
                      </w:pPr>
                      <w:r>
                        <w:rPr>
                          <w:rFonts w:ascii="Century Gothic" w:hAnsi="Century Gothic"/>
                          <w:b/>
                          <w:bCs/>
                          <w:color w:val="646482"/>
                          <w:sz w:val="100"/>
                          <w:szCs w:val="100"/>
                          <w:lang w:val="es-ES"/>
                        </w:rPr>
                        <w:t>Boletín Técnico</w:t>
                      </w:r>
                    </w:p>
                  </w:txbxContent>
                </v:textbox>
              </v:shape>
            </w:pict>
          </mc:Fallback>
        </mc:AlternateContent>
      </w:r>
    </w:p>
    <w:p w14:paraId="437BFA8F" w14:textId="1070AEE0" w:rsidR="0007659A" w:rsidRDefault="0007659A"/>
    <w:p w14:paraId="1959B1CE" w14:textId="2104B767" w:rsidR="0007659A" w:rsidRDefault="0007659A"/>
    <w:p w14:paraId="20BD25B6" w14:textId="67DBAB2C" w:rsidR="0007659A" w:rsidRDefault="0007659A"/>
    <w:p w14:paraId="5B6F3B05" w14:textId="5B6AA949" w:rsidR="0007659A" w:rsidRDefault="0007659A"/>
    <w:p w14:paraId="623DC05D" w14:textId="23AD2326" w:rsidR="0007659A" w:rsidRDefault="0007659A"/>
    <w:p w14:paraId="6B1C00D1" w14:textId="0DEC8B3E" w:rsidR="0007659A" w:rsidRDefault="0007659A"/>
    <w:p w14:paraId="4E5D06E6" w14:textId="5581FC4F" w:rsidR="0007659A" w:rsidRDefault="0007659A"/>
    <w:p w14:paraId="2DC78E84" w14:textId="613692A6" w:rsidR="0007659A" w:rsidRDefault="0007659A"/>
    <w:p w14:paraId="00EF8C48" w14:textId="4EA20542" w:rsidR="0007659A" w:rsidRDefault="0007659A"/>
    <w:p w14:paraId="7A0B4941" w14:textId="7F1D07AD" w:rsidR="0007659A" w:rsidRDefault="0007659A"/>
    <w:p w14:paraId="6FC407B6" w14:textId="6A0EF069" w:rsidR="0007659A" w:rsidRDefault="000758D3">
      <w:r>
        <w:rPr>
          <w:noProof/>
          <w:lang w:eastAsia="es-EC"/>
        </w:rPr>
        <mc:AlternateContent>
          <mc:Choice Requires="wps">
            <w:drawing>
              <wp:anchor distT="0" distB="0" distL="114300" distR="114300" simplePos="0" relativeHeight="251663360" behindDoc="0" locked="0" layoutInCell="1" allowOverlap="1" wp14:anchorId="223ED7AD" wp14:editId="5307F4F5">
                <wp:simplePos x="0" y="0"/>
                <wp:positionH relativeFrom="margin">
                  <wp:posOffset>-365760</wp:posOffset>
                </wp:positionH>
                <wp:positionV relativeFrom="paragraph">
                  <wp:posOffset>183819</wp:posOffset>
                </wp:positionV>
                <wp:extent cx="4286250" cy="4581525"/>
                <wp:effectExtent l="0" t="0" r="0" b="9525"/>
                <wp:wrapNone/>
                <wp:docPr id="6" name="Cuadro de texto 6"/>
                <wp:cNvGraphicFramePr/>
                <a:graphic xmlns:a="http://schemas.openxmlformats.org/drawingml/2006/main">
                  <a:graphicData uri="http://schemas.microsoft.com/office/word/2010/wordprocessingShape">
                    <wps:wsp>
                      <wps:cNvSpPr txBox="1"/>
                      <wps:spPr>
                        <a:xfrm>
                          <a:off x="0" y="0"/>
                          <a:ext cx="4286250" cy="4581525"/>
                        </a:xfrm>
                        <a:prstGeom prst="rect">
                          <a:avLst/>
                        </a:prstGeom>
                        <a:noFill/>
                        <a:ln w="6350">
                          <a:noFill/>
                        </a:ln>
                      </wps:spPr>
                      <wps:txbx>
                        <w:txbxContent>
                          <w:p w14:paraId="766DC497" w14:textId="77777777" w:rsidR="000758D3" w:rsidRDefault="00EE29C2" w:rsidP="005242AA">
                            <w:pPr>
                              <w:rPr>
                                <w:rFonts w:ascii="Century Gothic" w:hAnsi="Century Gothic"/>
                                <w:color w:val="646482"/>
                                <w:sz w:val="80"/>
                                <w:szCs w:val="80"/>
                                <w:lang w:val="es-ES"/>
                              </w:rPr>
                            </w:pPr>
                            <w:r w:rsidRPr="006077EE">
                              <w:rPr>
                                <w:rFonts w:ascii="Century Gothic" w:hAnsi="Century Gothic"/>
                                <w:color w:val="646482"/>
                                <w:sz w:val="80"/>
                                <w:szCs w:val="80"/>
                                <w:lang w:val="es-ES"/>
                              </w:rPr>
                              <w:t>Módulo</w:t>
                            </w:r>
                          </w:p>
                          <w:p w14:paraId="510155F1" w14:textId="77777777" w:rsidR="000758D3" w:rsidRDefault="00EE29C2" w:rsidP="005242AA">
                            <w:pPr>
                              <w:rPr>
                                <w:rFonts w:ascii="Century Gothic" w:hAnsi="Century Gothic"/>
                                <w:color w:val="646482"/>
                                <w:sz w:val="80"/>
                                <w:szCs w:val="80"/>
                                <w:lang w:val="es-ES"/>
                              </w:rPr>
                            </w:pPr>
                            <w:r w:rsidRPr="006077EE">
                              <w:rPr>
                                <w:rFonts w:ascii="Century Gothic" w:hAnsi="Century Gothic"/>
                                <w:color w:val="646482"/>
                                <w:sz w:val="80"/>
                                <w:szCs w:val="80"/>
                                <w:lang w:val="es-ES"/>
                              </w:rPr>
                              <w:t>Ambiental Económic</w:t>
                            </w:r>
                            <w:r w:rsidR="00D269ED" w:rsidRPr="006077EE">
                              <w:rPr>
                                <w:rFonts w:ascii="Century Gothic" w:hAnsi="Century Gothic"/>
                                <w:color w:val="646482"/>
                                <w:sz w:val="80"/>
                                <w:szCs w:val="80"/>
                                <w:lang w:val="es-ES"/>
                              </w:rPr>
                              <w:t>o</w:t>
                            </w:r>
                            <w:r w:rsidRPr="006077EE">
                              <w:rPr>
                                <w:rFonts w:ascii="Century Gothic" w:hAnsi="Century Gothic"/>
                                <w:color w:val="646482"/>
                                <w:sz w:val="80"/>
                                <w:szCs w:val="80"/>
                                <w:lang w:val="es-ES"/>
                              </w:rPr>
                              <w:t xml:space="preserve"> de</w:t>
                            </w:r>
                          </w:p>
                          <w:p w14:paraId="3AB76225" w14:textId="3B4AD851" w:rsidR="00EE29C2" w:rsidRPr="006077EE" w:rsidRDefault="000758D3" w:rsidP="005242AA">
                            <w:pPr>
                              <w:rPr>
                                <w:rFonts w:ascii="Century Gothic" w:hAnsi="Century Gothic"/>
                                <w:color w:val="646482"/>
                                <w:sz w:val="80"/>
                                <w:szCs w:val="80"/>
                                <w:lang w:val="es-ES"/>
                              </w:rPr>
                            </w:pPr>
                            <w:r>
                              <w:rPr>
                                <w:rFonts w:ascii="Century Gothic" w:hAnsi="Century Gothic"/>
                                <w:color w:val="646482"/>
                                <w:sz w:val="80"/>
                                <w:szCs w:val="80"/>
                                <w:lang w:val="es-ES"/>
                              </w:rPr>
                              <w:t xml:space="preserve">la </w:t>
                            </w:r>
                            <w:r w:rsidR="00EE29C2" w:rsidRPr="006077EE">
                              <w:rPr>
                                <w:rFonts w:ascii="Century Gothic" w:hAnsi="Century Gothic"/>
                                <w:color w:val="646482"/>
                                <w:sz w:val="80"/>
                                <w:szCs w:val="80"/>
                                <w:lang w:val="es-ES"/>
                              </w:rPr>
                              <w:t>Encuesta Estructural Empresarial (ENESEM), 202</w:t>
                            </w:r>
                            <w:r w:rsidR="00FD6049">
                              <w:rPr>
                                <w:rFonts w:ascii="Century Gothic" w:hAnsi="Century Gothic"/>
                                <w:color w:val="646482"/>
                                <w:sz w:val="80"/>
                                <w:szCs w:val="80"/>
                                <w:lang w:val="es-ES"/>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3ED7AD" id="Cuadro de texto 6" o:spid="_x0000_s1027" type="#_x0000_t202" style="position:absolute;margin-left:-28.8pt;margin-top:14.45pt;width:337.5pt;height:360.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" filled="f" stroked="f" strokeweight=".5pt">
                <v:textbox inset="0,0,0,0">
                  <w:txbxContent>
                    <w:p w14:paraId="766DC497" w14:textId="77777777" w:rsidR="000758D3" w:rsidRDefault="00EE29C2" w:rsidP="005242AA">
                      <w:pPr>
                        <w:rPr>
                          <w:rFonts w:ascii="Century Gothic" w:hAnsi="Century Gothic"/>
                          <w:color w:val="646482"/>
                          <w:sz w:val="80"/>
                          <w:szCs w:val="80"/>
                          <w:lang w:val="es-ES"/>
                        </w:rPr>
                      </w:pPr>
                      <w:r w:rsidRPr="006077EE">
                        <w:rPr>
                          <w:rFonts w:ascii="Century Gothic" w:hAnsi="Century Gothic"/>
                          <w:color w:val="646482"/>
                          <w:sz w:val="80"/>
                          <w:szCs w:val="80"/>
                          <w:lang w:val="es-ES"/>
                        </w:rPr>
                        <w:t>Módulo</w:t>
                      </w:r>
                    </w:p>
                    <w:p w14:paraId="510155F1" w14:textId="77777777" w:rsidR="000758D3" w:rsidRDefault="00EE29C2" w:rsidP="005242AA">
                      <w:pPr>
                        <w:rPr>
                          <w:rFonts w:ascii="Century Gothic" w:hAnsi="Century Gothic"/>
                          <w:color w:val="646482"/>
                          <w:sz w:val="80"/>
                          <w:szCs w:val="80"/>
                          <w:lang w:val="es-ES"/>
                        </w:rPr>
                      </w:pPr>
                      <w:r w:rsidRPr="006077EE">
                        <w:rPr>
                          <w:rFonts w:ascii="Century Gothic" w:hAnsi="Century Gothic"/>
                          <w:color w:val="646482"/>
                          <w:sz w:val="80"/>
                          <w:szCs w:val="80"/>
                          <w:lang w:val="es-ES"/>
                        </w:rPr>
                        <w:t>Ambiental Económic</w:t>
                      </w:r>
                      <w:r w:rsidR="00D269ED" w:rsidRPr="006077EE">
                        <w:rPr>
                          <w:rFonts w:ascii="Century Gothic" w:hAnsi="Century Gothic"/>
                          <w:color w:val="646482"/>
                          <w:sz w:val="80"/>
                          <w:szCs w:val="80"/>
                          <w:lang w:val="es-ES"/>
                        </w:rPr>
                        <w:t>o</w:t>
                      </w:r>
                      <w:r w:rsidRPr="006077EE">
                        <w:rPr>
                          <w:rFonts w:ascii="Century Gothic" w:hAnsi="Century Gothic"/>
                          <w:color w:val="646482"/>
                          <w:sz w:val="80"/>
                          <w:szCs w:val="80"/>
                          <w:lang w:val="es-ES"/>
                        </w:rPr>
                        <w:t xml:space="preserve"> de</w:t>
                      </w:r>
                    </w:p>
                    <w:p w14:paraId="3AB76225" w14:textId="3B4AD851" w:rsidR="00EE29C2" w:rsidRPr="006077EE" w:rsidRDefault="000758D3" w:rsidP="005242AA">
                      <w:pPr>
                        <w:rPr>
                          <w:rFonts w:ascii="Century Gothic" w:hAnsi="Century Gothic"/>
                          <w:color w:val="646482"/>
                          <w:sz w:val="80"/>
                          <w:szCs w:val="80"/>
                          <w:lang w:val="es-ES"/>
                        </w:rPr>
                      </w:pPr>
                      <w:r>
                        <w:rPr>
                          <w:rFonts w:ascii="Century Gothic" w:hAnsi="Century Gothic"/>
                          <w:color w:val="646482"/>
                          <w:sz w:val="80"/>
                          <w:szCs w:val="80"/>
                          <w:lang w:val="es-ES"/>
                        </w:rPr>
                        <w:t xml:space="preserve">la </w:t>
                      </w:r>
                      <w:r w:rsidR="00EE29C2" w:rsidRPr="006077EE">
                        <w:rPr>
                          <w:rFonts w:ascii="Century Gothic" w:hAnsi="Century Gothic"/>
                          <w:color w:val="646482"/>
                          <w:sz w:val="80"/>
                          <w:szCs w:val="80"/>
                          <w:lang w:val="es-ES"/>
                        </w:rPr>
                        <w:t>Encuesta Estructural Empresarial (ENESEM), 202</w:t>
                      </w:r>
                      <w:r w:rsidR="00FD6049">
                        <w:rPr>
                          <w:rFonts w:ascii="Century Gothic" w:hAnsi="Century Gothic"/>
                          <w:color w:val="646482"/>
                          <w:sz w:val="80"/>
                          <w:szCs w:val="80"/>
                          <w:lang w:val="es-ES"/>
                        </w:rPr>
                        <w:t>1</w:t>
                      </w:r>
                    </w:p>
                  </w:txbxContent>
                </v:textbox>
                <w10:wrap anchorx="margin"/>
              </v:shape>
            </w:pict>
          </mc:Fallback>
        </mc:AlternateContent>
      </w:r>
    </w:p>
    <w:p w14:paraId="24084193" w14:textId="3F1D81F2" w:rsidR="0007659A" w:rsidRDefault="0007659A"/>
    <w:p w14:paraId="005BBEDA" w14:textId="073FAC1B" w:rsidR="0007659A" w:rsidRDefault="0007659A"/>
    <w:p w14:paraId="7E061395" w14:textId="636DAAA5" w:rsidR="0007659A" w:rsidRDefault="0007659A"/>
    <w:p w14:paraId="50EE00BB" w14:textId="20546346" w:rsidR="0007659A" w:rsidRDefault="0007659A"/>
    <w:p w14:paraId="4988B149" w14:textId="29E6291B" w:rsidR="0007659A" w:rsidRDefault="0007659A"/>
    <w:p w14:paraId="2FD7E050" w14:textId="6A51A2F1" w:rsidR="0007659A" w:rsidRDefault="0007659A"/>
    <w:p w14:paraId="30D2D061" w14:textId="0DE979CF" w:rsidR="0007659A" w:rsidRDefault="0007659A"/>
    <w:p w14:paraId="2D207F92" w14:textId="75E9E1F0" w:rsidR="0007659A" w:rsidRDefault="0007659A"/>
    <w:p w14:paraId="47CF1F07" w14:textId="2DE2EA29" w:rsidR="0007659A" w:rsidRDefault="0007659A"/>
    <w:p w14:paraId="6C16430A" w14:textId="4B1A627A" w:rsidR="0007659A" w:rsidRDefault="0007659A"/>
    <w:p w14:paraId="5C3D4F87" w14:textId="6FD9A972" w:rsidR="0007659A" w:rsidRDefault="0007659A"/>
    <w:p w14:paraId="01FF7F7D" w14:textId="561ACD65" w:rsidR="0007659A" w:rsidRDefault="0007659A"/>
    <w:p w14:paraId="1525CDCE" w14:textId="7B1AF338" w:rsidR="0007659A" w:rsidRDefault="0007659A"/>
    <w:p w14:paraId="66D696C9" w14:textId="66CF39F6" w:rsidR="0007659A" w:rsidRDefault="0007659A"/>
    <w:p w14:paraId="72BF05F7" w14:textId="445D31BD" w:rsidR="0007659A" w:rsidRDefault="0007659A"/>
    <w:p w14:paraId="42CFE2B1" w14:textId="4F73BF12" w:rsidR="0007659A" w:rsidRDefault="0007659A"/>
    <w:p w14:paraId="5D64EC3E" w14:textId="1A6B2C1F" w:rsidR="0007659A" w:rsidRDefault="0007659A"/>
    <w:p w14:paraId="255348D5" w14:textId="41E2B12C" w:rsidR="0007659A" w:rsidRDefault="0007659A"/>
    <w:p w14:paraId="1D0669DC" w14:textId="44E3BBF7" w:rsidR="0007659A" w:rsidRDefault="0007659A"/>
    <w:p w14:paraId="239C1170" w14:textId="6FB2BBD5" w:rsidR="0007659A" w:rsidRDefault="0007659A"/>
    <w:p w14:paraId="3494C76B" w14:textId="22A13337" w:rsidR="0007659A" w:rsidRDefault="0007659A"/>
    <w:p w14:paraId="56BC92FD" w14:textId="44C3A109" w:rsidR="0007659A" w:rsidRDefault="0007659A"/>
    <w:p w14:paraId="4453FCB5" w14:textId="6046F2BA" w:rsidR="0007659A" w:rsidRDefault="0007659A"/>
    <w:p w14:paraId="13B87D17" w14:textId="5257E380" w:rsidR="0007659A" w:rsidRDefault="0007659A"/>
    <w:p w14:paraId="4AB39BA4" w14:textId="15FCB518" w:rsidR="0007659A" w:rsidRDefault="0007659A"/>
    <w:p w14:paraId="6E792275" w14:textId="52A57FED" w:rsidR="0007659A" w:rsidRDefault="0007659A"/>
    <w:p w14:paraId="06BEEA44" w14:textId="6A8C7370" w:rsidR="0007659A" w:rsidRDefault="000758D3">
      <w:r>
        <w:rPr>
          <w:noProof/>
        </w:rPr>
        <mc:AlternateContent>
          <mc:Choice Requires="wps">
            <w:drawing>
              <wp:anchor distT="0" distB="0" distL="114300" distR="114300" simplePos="0" relativeHeight="251687936" behindDoc="0" locked="0" layoutInCell="1" allowOverlap="1" wp14:anchorId="20A64176" wp14:editId="33AAE2F6">
                <wp:simplePos x="0" y="0"/>
                <wp:positionH relativeFrom="column">
                  <wp:posOffset>-291134</wp:posOffset>
                </wp:positionH>
                <wp:positionV relativeFrom="paragraph">
                  <wp:posOffset>183515</wp:posOffset>
                </wp:positionV>
                <wp:extent cx="2208530" cy="493395"/>
                <wp:effectExtent l="0" t="0" r="1270" b="1905"/>
                <wp:wrapNone/>
                <wp:docPr id="13" name="Cuadro de texto 13"/>
                <wp:cNvGraphicFramePr/>
                <a:graphic xmlns:a="http://schemas.openxmlformats.org/drawingml/2006/main">
                  <a:graphicData uri="http://schemas.microsoft.com/office/word/2010/wordprocessingShape">
                    <wps:wsp>
                      <wps:cNvSpPr txBox="1"/>
                      <wps:spPr>
                        <a:xfrm>
                          <a:off x="0" y="0"/>
                          <a:ext cx="2208530" cy="493395"/>
                        </a:xfrm>
                        <a:prstGeom prst="roundRect">
                          <a:avLst>
                            <a:gd name="adj" fmla="val 50000"/>
                          </a:avLst>
                        </a:prstGeom>
                        <a:solidFill>
                          <a:srgbClr val="908732"/>
                        </a:solidFill>
                        <a:ln w="6350">
                          <a:noFill/>
                        </a:ln>
                      </wps:spPr>
                      <wps:txbx>
                        <w:txbxContent>
                          <w:p w14:paraId="50F6C037" w14:textId="61B6FD79" w:rsidR="005242AA" w:rsidRPr="00732090" w:rsidRDefault="005242AA" w:rsidP="005242AA">
                            <w:pPr>
                              <w:jc w:val="center"/>
                              <w:rPr>
                                <w:rFonts w:ascii="Century Gothic" w:hAnsi="Century Gothic"/>
                                <w:color w:val="FFFFFF" w:themeColor="background1"/>
                                <w:sz w:val="44"/>
                                <w:szCs w:val="44"/>
                                <w:lang w:val="es-ES"/>
                              </w:rPr>
                            </w:pPr>
                            <w:r>
                              <w:rPr>
                                <w:rFonts w:ascii="Century Gothic" w:hAnsi="Century Gothic"/>
                                <w:color w:val="FFFFFF" w:themeColor="background1"/>
                                <w:sz w:val="44"/>
                                <w:szCs w:val="44"/>
                                <w:lang w:val="es-ES"/>
                              </w:rPr>
                              <w:t>Abril</w:t>
                            </w:r>
                            <w:r w:rsidRPr="00732090">
                              <w:rPr>
                                <w:rFonts w:ascii="Century Gothic" w:hAnsi="Century Gothic"/>
                                <w:color w:val="FFFFFF" w:themeColor="background1"/>
                                <w:sz w:val="44"/>
                                <w:szCs w:val="44"/>
                                <w:lang w:val="es-ES"/>
                              </w:rPr>
                              <w:t xml:space="preserve">, </w:t>
                            </w:r>
                            <w:r>
                              <w:rPr>
                                <w:rFonts w:ascii="Century Gothic" w:hAnsi="Century Gothic"/>
                                <w:color w:val="FFFFFF" w:themeColor="background1"/>
                                <w:sz w:val="44"/>
                                <w:szCs w:val="44"/>
                                <w:lang w:val="es-ES"/>
                              </w:rPr>
                              <w:t>2023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A64176" id="Cuadro de texto 13" o:spid="_x0000_s1028" style="position:absolute;margin-left:-22.9pt;margin-top:14.45pt;width:173.9pt;height:38.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" fillcolor="#908732" stroked="f" strokeweight=".5pt">
                <v:textbox inset="0,0,0,0">
                  <w:txbxContent>
                    <w:p w14:paraId="50F6C037" w14:textId="61B6FD79" w:rsidR="005242AA" w:rsidRPr="00732090" w:rsidRDefault="005242AA" w:rsidP="005242AA">
                      <w:pPr>
                        <w:jc w:val="center"/>
                        <w:rPr>
                          <w:rFonts w:ascii="Century Gothic" w:hAnsi="Century Gothic"/>
                          <w:color w:val="FFFFFF" w:themeColor="background1"/>
                          <w:sz w:val="44"/>
                          <w:szCs w:val="44"/>
                          <w:lang w:val="es-ES"/>
                        </w:rPr>
                      </w:pPr>
                      <w:r>
                        <w:rPr>
                          <w:rFonts w:ascii="Century Gothic" w:hAnsi="Century Gothic"/>
                          <w:color w:val="FFFFFF" w:themeColor="background1"/>
                          <w:sz w:val="44"/>
                          <w:szCs w:val="44"/>
                          <w:lang w:val="es-ES"/>
                        </w:rPr>
                        <w:t>Abril</w:t>
                      </w:r>
                      <w:r w:rsidRPr="00732090">
                        <w:rPr>
                          <w:rFonts w:ascii="Century Gothic" w:hAnsi="Century Gothic"/>
                          <w:color w:val="FFFFFF" w:themeColor="background1"/>
                          <w:sz w:val="44"/>
                          <w:szCs w:val="44"/>
                          <w:lang w:val="es-ES"/>
                        </w:rPr>
                        <w:t xml:space="preserve">, </w:t>
                      </w:r>
                      <w:r>
                        <w:rPr>
                          <w:rFonts w:ascii="Century Gothic" w:hAnsi="Century Gothic"/>
                          <w:color w:val="FFFFFF" w:themeColor="background1"/>
                          <w:sz w:val="44"/>
                          <w:szCs w:val="44"/>
                          <w:lang w:val="es-ES"/>
                        </w:rPr>
                        <w:t>2023</w:t>
                      </w:r>
                    </w:p>
                  </w:txbxContent>
                </v:textbox>
              </v:roundrect>
            </w:pict>
          </mc:Fallback>
        </mc:AlternateContent>
      </w:r>
    </w:p>
    <w:p w14:paraId="2D03E2F6" w14:textId="29E5A8E0" w:rsidR="0007659A" w:rsidRDefault="0007659A"/>
    <w:p w14:paraId="30181CBB" w14:textId="4525BD06" w:rsidR="0007659A" w:rsidRDefault="0007659A"/>
    <w:p w14:paraId="7B8CB58F" w14:textId="05F3309A" w:rsidR="0007659A" w:rsidRDefault="0007659A"/>
    <w:p w14:paraId="7F68AF54" w14:textId="68C74864" w:rsidR="0007659A" w:rsidRDefault="0007659A"/>
    <w:p w14:paraId="251ED285" w14:textId="0E668ED2" w:rsidR="0007659A" w:rsidRDefault="0007659A"/>
    <w:p w14:paraId="0CAA9E66" w14:textId="44A60599" w:rsidR="008F4FFB" w:rsidRPr="008F4FFB" w:rsidRDefault="008F4FFB">
      <w:r>
        <w:rPr>
          <w:rFonts w:ascii="Century Gothic" w:eastAsiaTheme="majorEastAsia" w:hAnsi="Century Gothic" w:cstheme="majorBidi"/>
          <w:b/>
          <w:bCs/>
          <w:color w:val="2F5496" w:themeColor="accent1" w:themeShade="BF"/>
          <w:sz w:val="28"/>
          <w:szCs w:val="28"/>
          <w:lang w:val="es-ES" w:eastAsia="es-ES" w:bidi="es-ES"/>
        </w:rPr>
        <w:br w:type="page"/>
      </w:r>
    </w:p>
    <w:p w14:paraId="650DDB90" w14:textId="77777777" w:rsidR="008F4FFB" w:rsidRDefault="008F4FFB">
      <w:pPr>
        <w:rPr>
          <w:rFonts w:ascii="Century Gothic" w:eastAsiaTheme="majorEastAsia" w:hAnsi="Century Gothic" w:cstheme="majorBidi"/>
          <w:b/>
          <w:bCs/>
          <w:color w:val="2F5496" w:themeColor="accent1" w:themeShade="BF"/>
          <w:sz w:val="28"/>
          <w:szCs w:val="28"/>
          <w:lang w:val="es-ES" w:eastAsia="es-ES" w:bidi="es-ES"/>
        </w:rPr>
      </w:pPr>
    </w:p>
    <w:sdt>
      <w:sdtPr>
        <w:rPr>
          <w:rFonts w:ascii="Century Gothic" w:eastAsia="Century Gothic" w:hAnsi="Century Gothic" w:cs="Century Gothic"/>
          <w:color w:val="auto"/>
          <w:sz w:val="22"/>
          <w:szCs w:val="22"/>
          <w:lang w:val="es-ES" w:eastAsia="es-ES" w:bidi="es-ES"/>
        </w:rPr>
        <w:id w:val="-2142484083"/>
        <w:docPartObj>
          <w:docPartGallery w:val="Table of Contents"/>
          <w:docPartUnique/>
        </w:docPartObj>
      </w:sdtPr>
      <w:sdtEndPr>
        <w:rPr>
          <w:rFonts w:asciiTheme="minorHAnsi" w:eastAsiaTheme="minorHAnsi" w:hAnsiTheme="minorHAnsi" w:cstheme="minorBidi"/>
          <w:b/>
          <w:bCs/>
          <w:sz w:val="24"/>
          <w:szCs w:val="24"/>
          <w:lang w:val="es-EC" w:eastAsia="en-US" w:bidi="ar-SA"/>
        </w:rPr>
      </w:sdtEndPr>
      <w:sdtContent>
        <w:p w14:paraId="7AE94CF8" w14:textId="77777777" w:rsidR="00826E44" w:rsidRPr="001B7D04" w:rsidRDefault="00826E44" w:rsidP="00826E44">
          <w:pPr>
            <w:pStyle w:val="TtuloTDC"/>
            <w:rPr>
              <w:b/>
              <w:color w:val="767171" w:themeColor="background2" w:themeShade="80"/>
              <w:lang w:val="es-ES"/>
            </w:rPr>
          </w:pPr>
          <w:r w:rsidRPr="001B7D04">
            <w:rPr>
              <w:b/>
              <w:color w:val="767171" w:themeColor="background2" w:themeShade="80"/>
              <w:lang w:val="es-ES"/>
            </w:rPr>
            <w:t>Índice de Contenidos</w:t>
          </w:r>
        </w:p>
        <w:p w14:paraId="633ABA02" w14:textId="77777777" w:rsidR="00826E44" w:rsidRPr="00644C4B" w:rsidRDefault="00826E44" w:rsidP="00826E44">
          <w:pPr>
            <w:rPr>
              <w:lang w:eastAsia="es-PR"/>
            </w:rPr>
          </w:pPr>
        </w:p>
        <w:p w14:paraId="0945EB93" w14:textId="309F2BA8" w:rsidR="0087229C" w:rsidRDefault="00826E44">
          <w:pPr>
            <w:pStyle w:val="TDC1"/>
            <w:tabs>
              <w:tab w:val="right" w:leader="dot" w:pos="8488"/>
            </w:tabs>
            <w:rPr>
              <w:rFonts w:asciiTheme="minorHAnsi" w:eastAsiaTheme="minorEastAsia" w:hAnsiTheme="minorHAnsi" w:cstheme="minorBidi"/>
              <w:noProof/>
              <w:lang w:val="es-EC" w:eastAsia="es-EC" w:bidi="ar-SA"/>
            </w:rPr>
          </w:pPr>
          <w:r>
            <w:fldChar w:fldCharType="begin"/>
          </w:r>
          <w:r>
            <w:instrText xml:space="preserve"> TOC \o "1-3" \h \z \u </w:instrText>
          </w:r>
          <w:r>
            <w:fldChar w:fldCharType="separate"/>
          </w:r>
          <w:hyperlink w:anchor="_Toc132722337" w:history="1">
            <w:r w:rsidR="0087229C" w:rsidRPr="00447D36">
              <w:rPr>
                <w:rStyle w:val="Hipervnculo"/>
                <w:rFonts w:eastAsiaTheme="minorHAnsi"/>
                <w:noProof/>
                <w:lang w:val="es-EC" w:eastAsia="en-US"/>
              </w:rPr>
              <w:t>Resumen</w:t>
            </w:r>
            <w:r w:rsidR="0087229C">
              <w:rPr>
                <w:noProof/>
                <w:webHidden/>
              </w:rPr>
              <w:tab/>
            </w:r>
            <w:r w:rsidR="0087229C">
              <w:rPr>
                <w:noProof/>
                <w:webHidden/>
              </w:rPr>
              <w:fldChar w:fldCharType="begin"/>
            </w:r>
            <w:r w:rsidR="0087229C">
              <w:rPr>
                <w:noProof/>
                <w:webHidden/>
              </w:rPr>
              <w:instrText xml:space="preserve"> PAGEREF _Toc132722337 \h </w:instrText>
            </w:r>
            <w:r w:rsidR="0087229C">
              <w:rPr>
                <w:noProof/>
                <w:webHidden/>
              </w:rPr>
            </w:r>
            <w:r w:rsidR="0087229C">
              <w:rPr>
                <w:noProof/>
                <w:webHidden/>
              </w:rPr>
              <w:fldChar w:fldCharType="separate"/>
            </w:r>
            <w:r w:rsidR="0087229C">
              <w:rPr>
                <w:noProof/>
                <w:webHidden/>
              </w:rPr>
              <w:t>5</w:t>
            </w:r>
            <w:r w:rsidR="0087229C">
              <w:rPr>
                <w:noProof/>
                <w:webHidden/>
              </w:rPr>
              <w:fldChar w:fldCharType="end"/>
            </w:r>
          </w:hyperlink>
        </w:p>
        <w:p w14:paraId="5A6B2BB6" w14:textId="6E401887" w:rsidR="0087229C" w:rsidRDefault="000F5FC7">
          <w:pPr>
            <w:pStyle w:val="TDC1"/>
            <w:tabs>
              <w:tab w:val="right" w:leader="dot" w:pos="8488"/>
            </w:tabs>
            <w:rPr>
              <w:rFonts w:asciiTheme="minorHAnsi" w:eastAsiaTheme="minorEastAsia" w:hAnsiTheme="minorHAnsi" w:cstheme="minorBidi"/>
              <w:noProof/>
              <w:lang w:val="es-EC" w:eastAsia="es-EC" w:bidi="ar-SA"/>
            </w:rPr>
          </w:pPr>
          <w:hyperlink w:anchor="_Toc132722338" w:history="1">
            <w:r w:rsidR="0087229C" w:rsidRPr="00447D36">
              <w:rPr>
                <w:rStyle w:val="Hipervnculo"/>
                <w:rFonts w:eastAsiaTheme="minorHAnsi"/>
                <w:noProof/>
                <w:lang w:val="es-EC" w:eastAsia="en-US"/>
              </w:rPr>
              <w:t>Introducción</w:t>
            </w:r>
            <w:r w:rsidR="0087229C">
              <w:rPr>
                <w:noProof/>
                <w:webHidden/>
              </w:rPr>
              <w:tab/>
            </w:r>
            <w:r w:rsidR="0087229C">
              <w:rPr>
                <w:noProof/>
                <w:webHidden/>
              </w:rPr>
              <w:fldChar w:fldCharType="begin"/>
            </w:r>
            <w:r w:rsidR="0087229C">
              <w:rPr>
                <w:noProof/>
                <w:webHidden/>
              </w:rPr>
              <w:instrText xml:space="preserve"> PAGEREF _Toc132722338 \h </w:instrText>
            </w:r>
            <w:r w:rsidR="0087229C">
              <w:rPr>
                <w:noProof/>
                <w:webHidden/>
              </w:rPr>
            </w:r>
            <w:r w:rsidR="0087229C">
              <w:rPr>
                <w:noProof/>
                <w:webHidden/>
              </w:rPr>
              <w:fldChar w:fldCharType="separate"/>
            </w:r>
            <w:r w:rsidR="0087229C">
              <w:rPr>
                <w:noProof/>
                <w:webHidden/>
              </w:rPr>
              <w:t>6</w:t>
            </w:r>
            <w:r w:rsidR="0087229C">
              <w:rPr>
                <w:noProof/>
                <w:webHidden/>
              </w:rPr>
              <w:fldChar w:fldCharType="end"/>
            </w:r>
          </w:hyperlink>
        </w:p>
        <w:p w14:paraId="5C78BFA1" w14:textId="0146062F" w:rsidR="0087229C" w:rsidRDefault="000F5FC7">
          <w:pPr>
            <w:pStyle w:val="TDC1"/>
            <w:tabs>
              <w:tab w:val="right" w:leader="dot" w:pos="8488"/>
            </w:tabs>
            <w:rPr>
              <w:rFonts w:asciiTheme="minorHAnsi" w:eastAsiaTheme="minorEastAsia" w:hAnsiTheme="minorHAnsi" w:cstheme="minorBidi"/>
              <w:noProof/>
              <w:lang w:val="es-EC" w:eastAsia="es-EC" w:bidi="ar-SA"/>
            </w:rPr>
          </w:pPr>
          <w:hyperlink w:anchor="_Toc132722339" w:history="1">
            <w:r w:rsidR="0087229C" w:rsidRPr="00447D36">
              <w:rPr>
                <w:rStyle w:val="Hipervnculo"/>
                <w:rFonts w:eastAsiaTheme="minorHAnsi"/>
                <w:noProof/>
                <w:lang w:val="es-EC" w:eastAsia="en-US"/>
              </w:rPr>
              <w:t>Principales aspectos metodológicos</w:t>
            </w:r>
            <w:r w:rsidR="0087229C">
              <w:rPr>
                <w:noProof/>
                <w:webHidden/>
              </w:rPr>
              <w:tab/>
            </w:r>
            <w:r w:rsidR="0087229C">
              <w:rPr>
                <w:noProof/>
                <w:webHidden/>
              </w:rPr>
              <w:fldChar w:fldCharType="begin"/>
            </w:r>
            <w:r w:rsidR="0087229C">
              <w:rPr>
                <w:noProof/>
                <w:webHidden/>
              </w:rPr>
              <w:instrText xml:space="preserve"> PAGEREF _Toc132722339 \h </w:instrText>
            </w:r>
            <w:r w:rsidR="0087229C">
              <w:rPr>
                <w:noProof/>
                <w:webHidden/>
              </w:rPr>
            </w:r>
            <w:r w:rsidR="0087229C">
              <w:rPr>
                <w:noProof/>
                <w:webHidden/>
              </w:rPr>
              <w:fldChar w:fldCharType="separate"/>
            </w:r>
            <w:r w:rsidR="0087229C">
              <w:rPr>
                <w:noProof/>
                <w:webHidden/>
              </w:rPr>
              <w:t>9</w:t>
            </w:r>
            <w:r w:rsidR="0087229C">
              <w:rPr>
                <w:noProof/>
                <w:webHidden/>
              </w:rPr>
              <w:fldChar w:fldCharType="end"/>
            </w:r>
          </w:hyperlink>
        </w:p>
        <w:p w14:paraId="1F5C6D84" w14:textId="499A25DD" w:rsidR="0087229C" w:rsidRDefault="000F5FC7">
          <w:pPr>
            <w:pStyle w:val="TDC1"/>
            <w:tabs>
              <w:tab w:val="right" w:leader="dot" w:pos="8488"/>
            </w:tabs>
            <w:rPr>
              <w:rFonts w:asciiTheme="minorHAnsi" w:eastAsiaTheme="minorEastAsia" w:hAnsiTheme="minorHAnsi" w:cstheme="minorBidi"/>
              <w:noProof/>
              <w:lang w:val="es-EC" w:eastAsia="es-EC" w:bidi="ar-SA"/>
            </w:rPr>
          </w:pPr>
          <w:hyperlink w:anchor="_Toc132722340" w:history="1">
            <w:r w:rsidR="0087229C" w:rsidRPr="00447D36">
              <w:rPr>
                <w:rStyle w:val="Hipervnculo"/>
                <w:rFonts w:eastAsiaTheme="minorHAnsi"/>
                <w:noProof/>
                <w:lang w:val="es-EC" w:eastAsia="en-US"/>
              </w:rPr>
              <w:t>Principales resultados</w:t>
            </w:r>
            <w:r w:rsidR="0087229C">
              <w:rPr>
                <w:noProof/>
                <w:webHidden/>
              </w:rPr>
              <w:tab/>
            </w:r>
            <w:r w:rsidR="0087229C">
              <w:rPr>
                <w:noProof/>
                <w:webHidden/>
              </w:rPr>
              <w:fldChar w:fldCharType="begin"/>
            </w:r>
            <w:r w:rsidR="0087229C">
              <w:rPr>
                <w:noProof/>
                <w:webHidden/>
              </w:rPr>
              <w:instrText xml:space="preserve"> PAGEREF _Toc132722340 \h </w:instrText>
            </w:r>
            <w:r w:rsidR="0087229C">
              <w:rPr>
                <w:noProof/>
                <w:webHidden/>
              </w:rPr>
            </w:r>
            <w:r w:rsidR="0087229C">
              <w:rPr>
                <w:noProof/>
                <w:webHidden/>
              </w:rPr>
              <w:fldChar w:fldCharType="separate"/>
            </w:r>
            <w:r w:rsidR="0087229C">
              <w:rPr>
                <w:noProof/>
                <w:webHidden/>
              </w:rPr>
              <w:t>10</w:t>
            </w:r>
            <w:r w:rsidR="0087229C">
              <w:rPr>
                <w:noProof/>
                <w:webHidden/>
              </w:rPr>
              <w:fldChar w:fldCharType="end"/>
            </w:r>
          </w:hyperlink>
        </w:p>
        <w:p w14:paraId="37E21541" w14:textId="26ACB41D" w:rsidR="0087229C" w:rsidRDefault="000F5FC7">
          <w:pPr>
            <w:pStyle w:val="TDC1"/>
            <w:tabs>
              <w:tab w:val="right" w:leader="dot" w:pos="8488"/>
            </w:tabs>
            <w:rPr>
              <w:rFonts w:asciiTheme="minorHAnsi" w:eastAsiaTheme="minorEastAsia" w:hAnsiTheme="minorHAnsi" w:cstheme="minorBidi"/>
              <w:noProof/>
              <w:lang w:val="es-EC" w:eastAsia="es-EC" w:bidi="ar-SA"/>
            </w:rPr>
          </w:pPr>
          <w:hyperlink w:anchor="_Toc132722341" w:history="1">
            <w:r w:rsidR="0087229C" w:rsidRPr="00447D36">
              <w:rPr>
                <w:rStyle w:val="Hipervnculo"/>
                <w:rFonts w:eastAsiaTheme="minorHAnsi"/>
                <w:noProof/>
                <w:lang w:val="es-EC" w:eastAsia="en-US"/>
              </w:rPr>
              <w:t>Análisis descriptivo</w:t>
            </w:r>
            <w:r w:rsidR="0087229C">
              <w:rPr>
                <w:noProof/>
                <w:webHidden/>
              </w:rPr>
              <w:tab/>
            </w:r>
            <w:r w:rsidR="0087229C">
              <w:rPr>
                <w:noProof/>
                <w:webHidden/>
              </w:rPr>
              <w:fldChar w:fldCharType="begin"/>
            </w:r>
            <w:r w:rsidR="0087229C">
              <w:rPr>
                <w:noProof/>
                <w:webHidden/>
              </w:rPr>
              <w:instrText xml:space="preserve"> PAGEREF _Toc132722341 \h </w:instrText>
            </w:r>
            <w:r w:rsidR="0087229C">
              <w:rPr>
                <w:noProof/>
                <w:webHidden/>
              </w:rPr>
            </w:r>
            <w:r w:rsidR="0087229C">
              <w:rPr>
                <w:noProof/>
                <w:webHidden/>
              </w:rPr>
              <w:fldChar w:fldCharType="separate"/>
            </w:r>
            <w:r w:rsidR="0087229C">
              <w:rPr>
                <w:noProof/>
                <w:webHidden/>
              </w:rPr>
              <w:t>13</w:t>
            </w:r>
            <w:r w:rsidR="0087229C">
              <w:rPr>
                <w:noProof/>
                <w:webHidden/>
              </w:rPr>
              <w:fldChar w:fldCharType="end"/>
            </w:r>
          </w:hyperlink>
        </w:p>
        <w:p w14:paraId="77563035" w14:textId="28B50399" w:rsidR="0087229C" w:rsidRDefault="000F5FC7">
          <w:pPr>
            <w:pStyle w:val="TDC2"/>
            <w:tabs>
              <w:tab w:val="left" w:pos="660"/>
              <w:tab w:val="right" w:leader="dot" w:pos="8488"/>
            </w:tabs>
            <w:rPr>
              <w:rFonts w:asciiTheme="minorHAnsi" w:eastAsiaTheme="minorEastAsia" w:hAnsiTheme="minorHAnsi" w:cstheme="minorBidi"/>
              <w:noProof/>
              <w:lang w:val="es-EC" w:eastAsia="es-EC" w:bidi="ar-SA"/>
            </w:rPr>
          </w:pPr>
          <w:hyperlink w:anchor="_Toc132722342" w:history="1">
            <w:r w:rsidR="0087229C" w:rsidRPr="00447D36">
              <w:rPr>
                <w:rStyle w:val="Hipervnculo"/>
                <w:noProof/>
              </w:rPr>
              <w:t>1.</w:t>
            </w:r>
            <w:r w:rsidR="0087229C">
              <w:rPr>
                <w:rFonts w:asciiTheme="minorHAnsi" w:eastAsiaTheme="minorEastAsia" w:hAnsiTheme="minorHAnsi" w:cstheme="minorBidi"/>
                <w:noProof/>
                <w:lang w:val="es-EC" w:eastAsia="es-EC" w:bidi="ar-SA"/>
              </w:rPr>
              <w:tab/>
            </w:r>
            <w:r w:rsidR="0087229C" w:rsidRPr="00447D36">
              <w:rPr>
                <w:rStyle w:val="Hipervnculo"/>
                <w:noProof/>
              </w:rPr>
              <w:t>Diagnóstico ambiental</w:t>
            </w:r>
            <w:r w:rsidR="0087229C">
              <w:rPr>
                <w:noProof/>
                <w:webHidden/>
              </w:rPr>
              <w:tab/>
            </w:r>
            <w:r w:rsidR="0087229C">
              <w:rPr>
                <w:noProof/>
                <w:webHidden/>
              </w:rPr>
              <w:fldChar w:fldCharType="begin"/>
            </w:r>
            <w:r w:rsidR="0087229C">
              <w:rPr>
                <w:noProof/>
                <w:webHidden/>
              </w:rPr>
              <w:instrText xml:space="preserve"> PAGEREF _Toc132722342 \h </w:instrText>
            </w:r>
            <w:r w:rsidR="0087229C">
              <w:rPr>
                <w:noProof/>
                <w:webHidden/>
              </w:rPr>
            </w:r>
            <w:r w:rsidR="0087229C">
              <w:rPr>
                <w:noProof/>
                <w:webHidden/>
              </w:rPr>
              <w:fldChar w:fldCharType="separate"/>
            </w:r>
            <w:r w:rsidR="0087229C">
              <w:rPr>
                <w:noProof/>
                <w:webHidden/>
              </w:rPr>
              <w:t>13</w:t>
            </w:r>
            <w:r w:rsidR="0087229C">
              <w:rPr>
                <w:noProof/>
                <w:webHidden/>
              </w:rPr>
              <w:fldChar w:fldCharType="end"/>
            </w:r>
          </w:hyperlink>
        </w:p>
        <w:p w14:paraId="40845A0A" w14:textId="5502C192" w:rsidR="0087229C" w:rsidRDefault="000F5FC7">
          <w:pPr>
            <w:pStyle w:val="TDC2"/>
            <w:tabs>
              <w:tab w:val="left" w:pos="660"/>
              <w:tab w:val="right" w:leader="dot" w:pos="8488"/>
            </w:tabs>
            <w:rPr>
              <w:rFonts w:asciiTheme="minorHAnsi" w:eastAsiaTheme="minorEastAsia" w:hAnsiTheme="minorHAnsi" w:cstheme="minorBidi"/>
              <w:noProof/>
              <w:lang w:val="es-EC" w:eastAsia="es-EC" w:bidi="ar-SA"/>
            </w:rPr>
          </w:pPr>
          <w:hyperlink w:anchor="_Toc132722343" w:history="1">
            <w:r w:rsidR="0087229C" w:rsidRPr="00447D36">
              <w:rPr>
                <w:rStyle w:val="Hipervnculo"/>
                <w:noProof/>
              </w:rPr>
              <w:t>2.</w:t>
            </w:r>
            <w:r w:rsidR="0087229C">
              <w:rPr>
                <w:rFonts w:asciiTheme="minorHAnsi" w:eastAsiaTheme="minorEastAsia" w:hAnsiTheme="minorHAnsi" w:cstheme="minorBidi"/>
                <w:noProof/>
                <w:lang w:val="es-EC" w:eastAsia="es-EC" w:bidi="ar-SA"/>
              </w:rPr>
              <w:tab/>
            </w:r>
            <w:r w:rsidR="0087229C" w:rsidRPr="00447D36">
              <w:rPr>
                <w:rStyle w:val="Hipervnculo"/>
                <w:noProof/>
              </w:rPr>
              <w:t>Gestión ambiental y gastos corrientes en gestión ambiental</w:t>
            </w:r>
            <w:r w:rsidR="0087229C">
              <w:rPr>
                <w:noProof/>
                <w:webHidden/>
              </w:rPr>
              <w:tab/>
            </w:r>
            <w:r w:rsidR="0087229C">
              <w:rPr>
                <w:noProof/>
                <w:webHidden/>
              </w:rPr>
              <w:fldChar w:fldCharType="begin"/>
            </w:r>
            <w:r w:rsidR="0087229C">
              <w:rPr>
                <w:noProof/>
                <w:webHidden/>
              </w:rPr>
              <w:instrText xml:space="preserve"> PAGEREF _Toc132722343 \h </w:instrText>
            </w:r>
            <w:r w:rsidR="0087229C">
              <w:rPr>
                <w:noProof/>
                <w:webHidden/>
              </w:rPr>
            </w:r>
            <w:r w:rsidR="0087229C">
              <w:rPr>
                <w:noProof/>
                <w:webHidden/>
              </w:rPr>
              <w:fldChar w:fldCharType="separate"/>
            </w:r>
            <w:r w:rsidR="0087229C">
              <w:rPr>
                <w:noProof/>
                <w:webHidden/>
              </w:rPr>
              <w:t>14</w:t>
            </w:r>
            <w:r w:rsidR="0087229C">
              <w:rPr>
                <w:noProof/>
                <w:webHidden/>
              </w:rPr>
              <w:fldChar w:fldCharType="end"/>
            </w:r>
          </w:hyperlink>
        </w:p>
        <w:p w14:paraId="307F03FB" w14:textId="41F2C45C" w:rsidR="0087229C" w:rsidRDefault="000F5FC7">
          <w:pPr>
            <w:pStyle w:val="TDC2"/>
            <w:tabs>
              <w:tab w:val="left" w:pos="660"/>
              <w:tab w:val="right" w:leader="dot" w:pos="8488"/>
            </w:tabs>
            <w:rPr>
              <w:rFonts w:asciiTheme="minorHAnsi" w:eastAsiaTheme="minorEastAsia" w:hAnsiTheme="minorHAnsi" w:cstheme="minorBidi"/>
              <w:noProof/>
              <w:lang w:val="es-EC" w:eastAsia="es-EC" w:bidi="ar-SA"/>
            </w:rPr>
          </w:pPr>
          <w:hyperlink w:anchor="_Toc132722344" w:history="1">
            <w:r w:rsidR="0087229C" w:rsidRPr="00447D36">
              <w:rPr>
                <w:rStyle w:val="Hipervnculo"/>
                <w:noProof/>
              </w:rPr>
              <w:t>3.</w:t>
            </w:r>
            <w:r w:rsidR="0087229C">
              <w:rPr>
                <w:rFonts w:asciiTheme="minorHAnsi" w:eastAsiaTheme="minorEastAsia" w:hAnsiTheme="minorHAnsi" w:cstheme="minorBidi"/>
                <w:noProof/>
                <w:lang w:val="es-EC" w:eastAsia="es-EC" w:bidi="ar-SA"/>
              </w:rPr>
              <w:tab/>
            </w:r>
            <w:r w:rsidR="0087229C" w:rsidRPr="00447D36">
              <w:rPr>
                <w:rStyle w:val="Hipervnculo"/>
                <w:noProof/>
              </w:rPr>
              <w:t>Energía y combustibles</w:t>
            </w:r>
            <w:r w:rsidR="0087229C">
              <w:rPr>
                <w:noProof/>
                <w:webHidden/>
              </w:rPr>
              <w:tab/>
            </w:r>
            <w:r w:rsidR="0087229C">
              <w:rPr>
                <w:noProof/>
                <w:webHidden/>
              </w:rPr>
              <w:fldChar w:fldCharType="begin"/>
            </w:r>
            <w:r w:rsidR="0087229C">
              <w:rPr>
                <w:noProof/>
                <w:webHidden/>
              </w:rPr>
              <w:instrText xml:space="preserve"> PAGEREF _Toc132722344 \h </w:instrText>
            </w:r>
            <w:r w:rsidR="0087229C">
              <w:rPr>
                <w:noProof/>
                <w:webHidden/>
              </w:rPr>
            </w:r>
            <w:r w:rsidR="0087229C">
              <w:rPr>
                <w:noProof/>
                <w:webHidden/>
              </w:rPr>
              <w:fldChar w:fldCharType="separate"/>
            </w:r>
            <w:r w:rsidR="0087229C">
              <w:rPr>
                <w:noProof/>
                <w:webHidden/>
              </w:rPr>
              <w:t>15</w:t>
            </w:r>
            <w:r w:rsidR="0087229C">
              <w:rPr>
                <w:noProof/>
                <w:webHidden/>
              </w:rPr>
              <w:fldChar w:fldCharType="end"/>
            </w:r>
          </w:hyperlink>
        </w:p>
        <w:p w14:paraId="13C87F91" w14:textId="50F4883E" w:rsidR="0087229C" w:rsidRDefault="000F5FC7">
          <w:pPr>
            <w:pStyle w:val="TDC2"/>
            <w:tabs>
              <w:tab w:val="left" w:pos="660"/>
              <w:tab w:val="right" w:leader="dot" w:pos="8488"/>
            </w:tabs>
            <w:rPr>
              <w:rFonts w:asciiTheme="minorHAnsi" w:eastAsiaTheme="minorEastAsia" w:hAnsiTheme="minorHAnsi" w:cstheme="minorBidi"/>
              <w:noProof/>
              <w:lang w:val="es-EC" w:eastAsia="es-EC" w:bidi="ar-SA"/>
            </w:rPr>
          </w:pPr>
          <w:hyperlink w:anchor="_Toc132722345" w:history="1">
            <w:r w:rsidR="0087229C" w:rsidRPr="00447D36">
              <w:rPr>
                <w:rStyle w:val="Hipervnculo"/>
                <w:noProof/>
              </w:rPr>
              <w:t>4.</w:t>
            </w:r>
            <w:r w:rsidR="0087229C">
              <w:rPr>
                <w:rFonts w:asciiTheme="minorHAnsi" w:eastAsiaTheme="minorEastAsia" w:hAnsiTheme="minorHAnsi" w:cstheme="minorBidi"/>
                <w:noProof/>
                <w:lang w:val="es-EC" w:eastAsia="es-EC" w:bidi="ar-SA"/>
              </w:rPr>
              <w:tab/>
            </w:r>
            <w:r w:rsidR="0087229C" w:rsidRPr="00447D36">
              <w:rPr>
                <w:rStyle w:val="Hipervnculo"/>
                <w:noProof/>
              </w:rPr>
              <w:t>Producción de energía renovable</w:t>
            </w:r>
            <w:r w:rsidR="0087229C">
              <w:rPr>
                <w:noProof/>
                <w:webHidden/>
              </w:rPr>
              <w:tab/>
            </w:r>
            <w:r w:rsidR="0087229C">
              <w:rPr>
                <w:noProof/>
                <w:webHidden/>
              </w:rPr>
              <w:fldChar w:fldCharType="begin"/>
            </w:r>
            <w:r w:rsidR="0087229C">
              <w:rPr>
                <w:noProof/>
                <w:webHidden/>
              </w:rPr>
              <w:instrText xml:space="preserve"> PAGEREF _Toc132722345 \h </w:instrText>
            </w:r>
            <w:r w:rsidR="0087229C">
              <w:rPr>
                <w:noProof/>
                <w:webHidden/>
              </w:rPr>
            </w:r>
            <w:r w:rsidR="0087229C">
              <w:rPr>
                <w:noProof/>
                <w:webHidden/>
              </w:rPr>
              <w:fldChar w:fldCharType="separate"/>
            </w:r>
            <w:r w:rsidR="0087229C">
              <w:rPr>
                <w:noProof/>
                <w:webHidden/>
              </w:rPr>
              <w:t>17</w:t>
            </w:r>
            <w:r w:rsidR="0087229C">
              <w:rPr>
                <w:noProof/>
                <w:webHidden/>
              </w:rPr>
              <w:fldChar w:fldCharType="end"/>
            </w:r>
          </w:hyperlink>
        </w:p>
        <w:p w14:paraId="0DD286D1" w14:textId="5DA893AB" w:rsidR="0087229C" w:rsidRDefault="000F5FC7">
          <w:pPr>
            <w:pStyle w:val="TDC2"/>
            <w:tabs>
              <w:tab w:val="left" w:pos="660"/>
              <w:tab w:val="right" w:leader="dot" w:pos="8488"/>
            </w:tabs>
            <w:rPr>
              <w:rFonts w:asciiTheme="minorHAnsi" w:eastAsiaTheme="minorEastAsia" w:hAnsiTheme="minorHAnsi" w:cstheme="minorBidi"/>
              <w:noProof/>
              <w:lang w:val="es-EC" w:eastAsia="es-EC" w:bidi="ar-SA"/>
            </w:rPr>
          </w:pPr>
          <w:hyperlink w:anchor="_Toc132722346" w:history="1">
            <w:r w:rsidR="0087229C" w:rsidRPr="00447D36">
              <w:rPr>
                <w:rStyle w:val="Hipervnculo"/>
                <w:noProof/>
              </w:rPr>
              <w:t>5.</w:t>
            </w:r>
            <w:r w:rsidR="0087229C">
              <w:rPr>
                <w:rFonts w:asciiTheme="minorHAnsi" w:eastAsiaTheme="minorEastAsia" w:hAnsiTheme="minorHAnsi" w:cstheme="minorBidi"/>
                <w:noProof/>
                <w:lang w:val="es-EC" w:eastAsia="es-EC" w:bidi="ar-SA"/>
              </w:rPr>
              <w:tab/>
            </w:r>
            <w:r w:rsidR="0087229C" w:rsidRPr="00447D36">
              <w:rPr>
                <w:rStyle w:val="Hipervnculo"/>
                <w:noProof/>
              </w:rPr>
              <w:t>Calentamiento de la atmósfera</w:t>
            </w:r>
            <w:r w:rsidR="0087229C">
              <w:rPr>
                <w:noProof/>
                <w:webHidden/>
              </w:rPr>
              <w:tab/>
            </w:r>
            <w:r w:rsidR="0087229C">
              <w:rPr>
                <w:noProof/>
                <w:webHidden/>
              </w:rPr>
              <w:fldChar w:fldCharType="begin"/>
            </w:r>
            <w:r w:rsidR="0087229C">
              <w:rPr>
                <w:noProof/>
                <w:webHidden/>
              </w:rPr>
              <w:instrText xml:space="preserve"> PAGEREF _Toc132722346 \h </w:instrText>
            </w:r>
            <w:r w:rsidR="0087229C">
              <w:rPr>
                <w:noProof/>
                <w:webHidden/>
              </w:rPr>
            </w:r>
            <w:r w:rsidR="0087229C">
              <w:rPr>
                <w:noProof/>
                <w:webHidden/>
              </w:rPr>
              <w:fldChar w:fldCharType="separate"/>
            </w:r>
            <w:r w:rsidR="0087229C">
              <w:rPr>
                <w:noProof/>
                <w:webHidden/>
              </w:rPr>
              <w:t>18</w:t>
            </w:r>
            <w:r w:rsidR="0087229C">
              <w:rPr>
                <w:noProof/>
                <w:webHidden/>
              </w:rPr>
              <w:fldChar w:fldCharType="end"/>
            </w:r>
          </w:hyperlink>
        </w:p>
        <w:p w14:paraId="608AA8AF" w14:textId="00772720" w:rsidR="0087229C" w:rsidRDefault="000F5FC7">
          <w:pPr>
            <w:pStyle w:val="TDC2"/>
            <w:tabs>
              <w:tab w:val="left" w:pos="660"/>
              <w:tab w:val="right" w:leader="dot" w:pos="8488"/>
            </w:tabs>
            <w:rPr>
              <w:rFonts w:asciiTheme="minorHAnsi" w:eastAsiaTheme="minorEastAsia" w:hAnsiTheme="minorHAnsi" w:cstheme="minorBidi"/>
              <w:noProof/>
              <w:lang w:val="es-EC" w:eastAsia="es-EC" w:bidi="ar-SA"/>
            </w:rPr>
          </w:pPr>
          <w:hyperlink w:anchor="_Toc132722347" w:history="1">
            <w:r w:rsidR="0087229C" w:rsidRPr="00447D36">
              <w:rPr>
                <w:rStyle w:val="Hipervnculo"/>
                <w:noProof/>
              </w:rPr>
              <w:t>6.</w:t>
            </w:r>
            <w:r w:rsidR="0087229C">
              <w:rPr>
                <w:rFonts w:asciiTheme="minorHAnsi" w:eastAsiaTheme="minorEastAsia" w:hAnsiTheme="minorHAnsi" w:cstheme="minorBidi"/>
                <w:noProof/>
                <w:lang w:val="es-EC" w:eastAsia="es-EC" w:bidi="ar-SA"/>
              </w:rPr>
              <w:tab/>
            </w:r>
            <w:r w:rsidR="0087229C" w:rsidRPr="00447D36">
              <w:rPr>
                <w:rStyle w:val="Hipervnculo"/>
                <w:noProof/>
              </w:rPr>
              <w:t>Agua de consumo y aguas residuales</w:t>
            </w:r>
            <w:r w:rsidR="0087229C">
              <w:rPr>
                <w:noProof/>
                <w:webHidden/>
              </w:rPr>
              <w:tab/>
            </w:r>
            <w:r w:rsidR="0087229C">
              <w:rPr>
                <w:noProof/>
                <w:webHidden/>
              </w:rPr>
              <w:fldChar w:fldCharType="begin"/>
            </w:r>
            <w:r w:rsidR="0087229C">
              <w:rPr>
                <w:noProof/>
                <w:webHidden/>
              </w:rPr>
              <w:instrText xml:space="preserve"> PAGEREF _Toc132722347 \h </w:instrText>
            </w:r>
            <w:r w:rsidR="0087229C">
              <w:rPr>
                <w:noProof/>
                <w:webHidden/>
              </w:rPr>
            </w:r>
            <w:r w:rsidR="0087229C">
              <w:rPr>
                <w:noProof/>
                <w:webHidden/>
              </w:rPr>
              <w:fldChar w:fldCharType="separate"/>
            </w:r>
            <w:r w:rsidR="0087229C">
              <w:rPr>
                <w:noProof/>
                <w:webHidden/>
              </w:rPr>
              <w:t>19</w:t>
            </w:r>
            <w:r w:rsidR="0087229C">
              <w:rPr>
                <w:noProof/>
                <w:webHidden/>
              </w:rPr>
              <w:fldChar w:fldCharType="end"/>
            </w:r>
          </w:hyperlink>
        </w:p>
        <w:p w14:paraId="42763A95" w14:textId="6B472E05" w:rsidR="0087229C" w:rsidRDefault="000F5FC7">
          <w:pPr>
            <w:pStyle w:val="TDC2"/>
            <w:tabs>
              <w:tab w:val="left" w:pos="660"/>
              <w:tab w:val="right" w:leader="dot" w:pos="8488"/>
            </w:tabs>
            <w:rPr>
              <w:rFonts w:asciiTheme="minorHAnsi" w:eastAsiaTheme="minorEastAsia" w:hAnsiTheme="minorHAnsi" w:cstheme="minorBidi"/>
              <w:noProof/>
              <w:lang w:val="es-EC" w:eastAsia="es-EC" w:bidi="ar-SA"/>
            </w:rPr>
          </w:pPr>
          <w:hyperlink w:anchor="_Toc132722348" w:history="1">
            <w:r w:rsidR="0087229C" w:rsidRPr="00447D36">
              <w:rPr>
                <w:rStyle w:val="Hipervnculo"/>
                <w:noProof/>
              </w:rPr>
              <w:t>7.</w:t>
            </w:r>
            <w:r w:rsidR="0087229C">
              <w:rPr>
                <w:rFonts w:asciiTheme="minorHAnsi" w:eastAsiaTheme="minorEastAsia" w:hAnsiTheme="minorHAnsi" w:cstheme="minorBidi"/>
                <w:noProof/>
                <w:lang w:val="es-EC" w:eastAsia="es-EC" w:bidi="ar-SA"/>
              </w:rPr>
              <w:tab/>
            </w:r>
            <w:r w:rsidR="0087229C" w:rsidRPr="00447D36">
              <w:rPr>
                <w:rStyle w:val="Hipervnculo"/>
                <w:noProof/>
              </w:rPr>
              <w:t>Gestión de residuos</w:t>
            </w:r>
            <w:r w:rsidR="0087229C">
              <w:rPr>
                <w:noProof/>
                <w:webHidden/>
              </w:rPr>
              <w:tab/>
            </w:r>
            <w:r w:rsidR="0087229C">
              <w:rPr>
                <w:noProof/>
                <w:webHidden/>
              </w:rPr>
              <w:fldChar w:fldCharType="begin"/>
            </w:r>
            <w:r w:rsidR="0087229C">
              <w:rPr>
                <w:noProof/>
                <w:webHidden/>
              </w:rPr>
              <w:instrText xml:space="preserve"> PAGEREF _Toc132722348 \h </w:instrText>
            </w:r>
            <w:r w:rsidR="0087229C">
              <w:rPr>
                <w:noProof/>
                <w:webHidden/>
              </w:rPr>
            </w:r>
            <w:r w:rsidR="0087229C">
              <w:rPr>
                <w:noProof/>
                <w:webHidden/>
              </w:rPr>
              <w:fldChar w:fldCharType="separate"/>
            </w:r>
            <w:r w:rsidR="0087229C">
              <w:rPr>
                <w:noProof/>
                <w:webHidden/>
              </w:rPr>
              <w:t>21</w:t>
            </w:r>
            <w:r w:rsidR="0087229C">
              <w:rPr>
                <w:noProof/>
                <w:webHidden/>
              </w:rPr>
              <w:fldChar w:fldCharType="end"/>
            </w:r>
          </w:hyperlink>
        </w:p>
        <w:p w14:paraId="4CB24D61" w14:textId="52314D12" w:rsidR="0087229C" w:rsidRDefault="000F5FC7">
          <w:pPr>
            <w:pStyle w:val="TDC3"/>
            <w:tabs>
              <w:tab w:val="right" w:leader="dot" w:pos="8488"/>
            </w:tabs>
            <w:rPr>
              <w:rFonts w:asciiTheme="minorHAnsi" w:eastAsiaTheme="minorEastAsia" w:hAnsiTheme="minorHAnsi" w:cstheme="minorBidi"/>
              <w:noProof/>
              <w:lang w:val="es-EC" w:eastAsia="es-EC" w:bidi="ar-SA"/>
            </w:rPr>
          </w:pPr>
          <w:hyperlink w:anchor="_Toc132722349" w:history="1">
            <w:r w:rsidR="0087229C" w:rsidRPr="00447D36">
              <w:rPr>
                <w:rStyle w:val="Hipervnculo"/>
                <w:i/>
                <w:noProof/>
              </w:rPr>
              <w:t>7.1 Gestión de desechos especiales</w:t>
            </w:r>
            <w:r w:rsidR="0087229C">
              <w:rPr>
                <w:noProof/>
                <w:webHidden/>
              </w:rPr>
              <w:tab/>
            </w:r>
            <w:r w:rsidR="0087229C">
              <w:rPr>
                <w:noProof/>
                <w:webHidden/>
              </w:rPr>
              <w:fldChar w:fldCharType="begin"/>
            </w:r>
            <w:r w:rsidR="0087229C">
              <w:rPr>
                <w:noProof/>
                <w:webHidden/>
              </w:rPr>
              <w:instrText xml:space="preserve"> PAGEREF _Toc132722349 \h </w:instrText>
            </w:r>
            <w:r w:rsidR="0087229C">
              <w:rPr>
                <w:noProof/>
                <w:webHidden/>
              </w:rPr>
            </w:r>
            <w:r w:rsidR="0087229C">
              <w:rPr>
                <w:noProof/>
                <w:webHidden/>
              </w:rPr>
              <w:fldChar w:fldCharType="separate"/>
            </w:r>
            <w:r w:rsidR="0087229C">
              <w:rPr>
                <w:noProof/>
                <w:webHidden/>
              </w:rPr>
              <w:t>21</w:t>
            </w:r>
            <w:r w:rsidR="0087229C">
              <w:rPr>
                <w:noProof/>
                <w:webHidden/>
              </w:rPr>
              <w:fldChar w:fldCharType="end"/>
            </w:r>
          </w:hyperlink>
        </w:p>
        <w:p w14:paraId="6F4F679D" w14:textId="20C72177" w:rsidR="0087229C" w:rsidRDefault="000F5FC7">
          <w:pPr>
            <w:pStyle w:val="TDC3"/>
            <w:tabs>
              <w:tab w:val="right" w:leader="dot" w:pos="8488"/>
            </w:tabs>
            <w:rPr>
              <w:rFonts w:asciiTheme="minorHAnsi" w:eastAsiaTheme="minorEastAsia" w:hAnsiTheme="minorHAnsi" w:cstheme="minorBidi"/>
              <w:noProof/>
              <w:lang w:val="es-EC" w:eastAsia="es-EC" w:bidi="ar-SA"/>
            </w:rPr>
          </w:pPr>
          <w:hyperlink w:anchor="_Toc132722350" w:history="1">
            <w:r w:rsidR="0087229C" w:rsidRPr="00447D36">
              <w:rPr>
                <w:rStyle w:val="Hipervnculo"/>
                <w:i/>
                <w:noProof/>
              </w:rPr>
              <w:t>7.2 Gestión de desechos peligrosos</w:t>
            </w:r>
            <w:r w:rsidR="0087229C">
              <w:rPr>
                <w:noProof/>
                <w:webHidden/>
              </w:rPr>
              <w:tab/>
            </w:r>
            <w:r w:rsidR="0087229C">
              <w:rPr>
                <w:noProof/>
                <w:webHidden/>
              </w:rPr>
              <w:fldChar w:fldCharType="begin"/>
            </w:r>
            <w:r w:rsidR="0087229C">
              <w:rPr>
                <w:noProof/>
                <w:webHidden/>
              </w:rPr>
              <w:instrText xml:space="preserve"> PAGEREF _Toc132722350 \h </w:instrText>
            </w:r>
            <w:r w:rsidR="0087229C">
              <w:rPr>
                <w:noProof/>
                <w:webHidden/>
              </w:rPr>
            </w:r>
            <w:r w:rsidR="0087229C">
              <w:rPr>
                <w:noProof/>
                <w:webHidden/>
              </w:rPr>
              <w:fldChar w:fldCharType="separate"/>
            </w:r>
            <w:r w:rsidR="0087229C">
              <w:rPr>
                <w:noProof/>
                <w:webHidden/>
              </w:rPr>
              <w:t>21</w:t>
            </w:r>
            <w:r w:rsidR="0087229C">
              <w:rPr>
                <w:noProof/>
                <w:webHidden/>
              </w:rPr>
              <w:fldChar w:fldCharType="end"/>
            </w:r>
          </w:hyperlink>
        </w:p>
        <w:p w14:paraId="5446E905" w14:textId="15FC7756" w:rsidR="0087229C" w:rsidRDefault="000F5FC7">
          <w:pPr>
            <w:pStyle w:val="TDC1"/>
            <w:tabs>
              <w:tab w:val="right" w:leader="dot" w:pos="8488"/>
            </w:tabs>
            <w:rPr>
              <w:rFonts w:asciiTheme="minorHAnsi" w:eastAsiaTheme="minorEastAsia" w:hAnsiTheme="minorHAnsi" w:cstheme="minorBidi"/>
              <w:noProof/>
              <w:lang w:val="es-EC" w:eastAsia="es-EC" w:bidi="ar-SA"/>
            </w:rPr>
          </w:pPr>
          <w:hyperlink w:anchor="_Toc132722351" w:history="1">
            <w:r w:rsidR="0087229C" w:rsidRPr="00447D36">
              <w:rPr>
                <w:rStyle w:val="Hipervnculo"/>
                <w:rFonts w:eastAsiaTheme="minorHAnsi"/>
                <w:noProof/>
                <w:lang w:val="es-EC" w:eastAsia="en-US"/>
              </w:rPr>
              <w:t>Conclusiones</w:t>
            </w:r>
            <w:r w:rsidR="0087229C">
              <w:rPr>
                <w:noProof/>
                <w:webHidden/>
              </w:rPr>
              <w:tab/>
            </w:r>
            <w:r w:rsidR="0087229C">
              <w:rPr>
                <w:noProof/>
                <w:webHidden/>
              </w:rPr>
              <w:fldChar w:fldCharType="begin"/>
            </w:r>
            <w:r w:rsidR="0087229C">
              <w:rPr>
                <w:noProof/>
                <w:webHidden/>
              </w:rPr>
              <w:instrText xml:space="preserve"> PAGEREF _Toc132722351 \h </w:instrText>
            </w:r>
            <w:r w:rsidR="0087229C">
              <w:rPr>
                <w:noProof/>
                <w:webHidden/>
              </w:rPr>
            </w:r>
            <w:r w:rsidR="0087229C">
              <w:rPr>
                <w:noProof/>
                <w:webHidden/>
              </w:rPr>
              <w:fldChar w:fldCharType="separate"/>
            </w:r>
            <w:r w:rsidR="0087229C">
              <w:rPr>
                <w:noProof/>
                <w:webHidden/>
              </w:rPr>
              <w:t>22</w:t>
            </w:r>
            <w:r w:rsidR="0087229C">
              <w:rPr>
                <w:noProof/>
                <w:webHidden/>
              </w:rPr>
              <w:fldChar w:fldCharType="end"/>
            </w:r>
          </w:hyperlink>
        </w:p>
        <w:p w14:paraId="3F664FBD" w14:textId="62E61D3C" w:rsidR="0087229C" w:rsidRDefault="000F5FC7">
          <w:pPr>
            <w:pStyle w:val="TDC1"/>
            <w:tabs>
              <w:tab w:val="right" w:leader="dot" w:pos="8488"/>
            </w:tabs>
            <w:rPr>
              <w:rFonts w:asciiTheme="minorHAnsi" w:eastAsiaTheme="minorEastAsia" w:hAnsiTheme="minorHAnsi" w:cstheme="minorBidi"/>
              <w:noProof/>
              <w:lang w:val="es-EC" w:eastAsia="es-EC" w:bidi="ar-SA"/>
            </w:rPr>
          </w:pPr>
          <w:hyperlink w:anchor="_Toc132722352" w:history="1">
            <w:r w:rsidR="0087229C" w:rsidRPr="00447D36">
              <w:rPr>
                <w:rStyle w:val="Hipervnculo"/>
                <w:rFonts w:eastAsiaTheme="minorHAnsi"/>
                <w:noProof/>
                <w:lang w:val="es-EC" w:eastAsia="en-US"/>
              </w:rPr>
              <w:t>Glosario</w:t>
            </w:r>
            <w:r w:rsidR="0087229C">
              <w:rPr>
                <w:noProof/>
                <w:webHidden/>
              </w:rPr>
              <w:tab/>
            </w:r>
            <w:r w:rsidR="0087229C">
              <w:rPr>
                <w:noProof/>
                <w:webHidden/>
              </w:rPr>
              <w:fldChar w:fldCharType="begin"/>
            </w:r>
            <w:r w:rsidR="0087229C">
              <w:rPr>
                <w:noProof/>
                <w:webHidden/>
              </w:rPr>
              <w:instrText xml:space="preserve"> PAGEREF _Toc132722352 \h </w:instrText>
            </w:r>
            <w:r w:rsidR="0087229C">
              <w:rPr>
                <w:noProof/>
                <w:webHidden/>
              </w:rPr>
            </w:r>
            <w:r w:rsidR="0087229C">
              <w:rPr>
                <w:noProof/>
                <w:webHidden/>
              </w:rPr>
              <w:fldChar w:fldCharType="separate"/>
            </w:r>
            <w:r w:rsidR="0087229C">
              <w:rPr>
                <w:noProof/>
                <w:webHidden/>
              </w:rPr>
              <w:t>24</w:t>
            </w:r>
            <w:r w:rsidR="0087229C">
              <w:rPr>
                <w:noProof/>
                <w:webHidden/>
              </w:rPr>
              <w:fldChar w:fldCharType="end"/>
            </w:r>
          </w:hyperlink>
        </w:p>
        <w:p w14:paraId="530DE737" w14:textId="20EBA0A3" w:rsidR="0087229C" w:rsidRDefault="000F5FC7">
          <w:pPr>
            <w:pStyle w:val="TDC1"/>
            <w:tabs>
              <w:tab w:val="right" w:leader="dot" w:pos="8488"/>
            </w:tabs>
            <w:rPr>
              <w:rFonts w:asciiTheme="minorHAnsi" w:eastAsiaTheme="minorEastAsia" w:hAnsiTheme="minorHAnsi" w:cstheme="minorBidi"/>
              <w:noProof/>
              <w:lang w:val="es-EC" w:eastAsia="es-EC" w:bidi="ar-SA"/>
            </w:rPr>
          </w:pPr>
          <w:hyperlink w:anchor="_Toc132722353" w:history="1">
            <w:r w:rsidR="0087229C" w:rsidRPr="00447D36">
              <w:rPr>
                <w:rStyle w:val="Hipervnculo"/>
                <w:rFonts w:eastAsiaTheme="minorHAnsi"/>
                <w:noProof/>
                <w:lang w:val="es-EC" w:eastAsia="en-US"/>
              </w:rPr>
              <w:t>Bibliografía y Referencias</w:t>
            </w:r>
            <w:r w:rsidR="0087229C">
              <w:rPr>
                <w:noProof/>
                <w:webHidden/>
              </w:rPr>
              <w:tab/>
            </w:r>
            <w:r w:rsidR="0087229C">
              <w:rPr>
                <w:noProof/>
                <w:webHidden/>
              </w:rPr>
              <w:fldChar w:fldCharType="begin"/>
            </w:r>
            <w:r w:rsidR="0087229C">
              <w:rPr>
                <w:noProof/>
                <w:webHidden/>
              </w:rPr>
              <w:instrText xml:space="preserve"> PAGEREF _Toc132722353 \h </w:instrText>
            </w:r>
            <w:r w:rsidR="0087229C">
              <w:rPr>
                <w:noProof/>
                <w:webHidden/>
              </w:rPr>
            </w:r>
            <w:r w:rsidR="0087229C">
              <w:rPr>
                <w:noProof/>
                <w:webHidden/>
              </w:rPr>
              <w:fldChar w:fldCharType="separate"/>
            </w:r>
            <w:r w:rsidR="0087229C">
              <w:rPr>
                <w:noProof/>
                <w:webHidden/>
              </w:rPr>
              <w:t>25</w:t>
            </w:r>
            <w:r w:rsidR="0087229C">
              <w:rPr>
                <w:noProof/>
                <w:webHidden/>
              </w:rPr>
              <w:fldChar w:fldCharType="end"/>
            </w:r>
          </w:hyperlink>
        </w:p>
        <w:p w14:paraId="7C8D26EE" w14:textId="576C15DA" w:rsidR="008F4FFB" w:rsidRDefault="00826E44" w:rsidP="00826E44">
          <w:pPr>
            <w:rPr>
              <w:b/>
              <w:bCs/>
            </w:rPr>
          </w:pPr>
          <w:r>
            <w:rPr>
              <w:b/>
              <w:bCs/>
            </w:rPr>
            <w:fldChar w:fldCharType="end"/>
          </w:r>
        </w:p>
      </w:sdtContent>
    </w:sdt>
    <w:p w14:paraId="3A882503" w14:textId="4DB38F4C" w:rsidR="00826E44" w:rsidRPr="008F4FFB" w:rsidRDefault="00826E44" w:rsidP="00826E44">
      <w:pPr>
        <w:rPr>
          <w:b/>
          <w:bCs/>
        </w:rPr>
      </w:pPr>
      <w:r>
        <w:rPr>
          <w:rFonts w:cs="Calibri"/>
          <w:b/>
          <w:color w:val="2D4B88"/>
          <w:sz w:val="28"/>
        </w:rPr>
        <w:br w:type="page"/>
      </w:r>
    </w:p>
    <w:p w14:paraId="1400AAC0" w14:textId="77777777" w:rsidR="00826E44" w:rsidRPr="001B7D04" w:rsidRDefault="00826E44" w:rsidP="00826E44">
      <w:pPr>
        <w:pStyle w:val="TtuloTDC"/>
        <w:rPr>
          <w:b/>
          <w:color w:val="767171" w:themeColor="background2" w:themeShade="80"/>
          <w:lang w:val="es-ES"/>
        </w:rPr>
      </w:pPr>
      <w:r w:rsidRPr="001B7D04">
        <w:rPr>
          <w:b/>
          <w:color w:val="767171" w:themeColor="background2" w:themeShade="80"/>
          <w:lang w:val="es-ES"/>
        </w:rPr>
        <w:lastRenderedPageBreak/>
        <w:t>Índice de Figuras</w:t>
      </w:r>
    </w:p>
    <w:p w14:paraId="78A3463D" w14:textId="77777777" w:rsidR="00826E44" w:rsidRDefault="00826E44" w:rsidP="00826E44">
      <w:pPr>
        <w:pStyle w:val="Tabladeilustraciones"/>
        <w:tabs>
          <w:tab w:val="right" w:leader="hyphen" w:pos="8488"/>
        </w:tabs>
        <w:rPr>
          <w:rFonts w:cs="Calibri"/>
          <w:b/>
          <w:color w:val="2D4B88"/>
          <w:sz w:val="28"/>
        </w:rPr>
      </w:pPr>
    </w:p>
    <w:p w14:paraId="47B3DBCF" w14:textId="00CAB9EB" w:rsidR="00F27DFF" w:rsidRDefault="00826E44">
      <w:pPr>
        <w:pStyle w:val="Tabladeilustraciones"/>
        <w:tabs>
          <w:tab w:val="right" w:leader="hyphen" w:pos="8488"/>
        </w:tabs>
        <w:rPr>
          <w:rFonts w:asciiTheme="minorHAnsi" w:eastAsiaTheme="minorEastAsia" w:hAnsiTheme="minorHAnsi" w:cstheme="minorBidi"/>
          <w:noProof/>
          <w:lang w:val="es-EC" w:eastAsia="es-EC" w:bidi="ar-SA"/>
        </w:rPr>
      </w:pPr>
      <w:r>
        <w:rPr>
          <w:rFonts w:cs="Calibri"/>
          <w:b/>
          <w:color w:val="2D4B88"/>
          <w:sz w:val="28"/>
        </w:rPr>
        <w:fldChar w:fldCharType="begin"/>
      </w:r>
      <w:r>
        <w:rPr>
          <w:rFonts w:cs="Calibri"/>
          <w:b/>
          <w:color w:val="2D4B88"/>
          <w:sz w:val="28"/>
        </w:rPr>
        <w:instrText xml:space="preserve"> TOC \h \z \c "Figura" </w:instrText>
      </w:r>
      <w:r>
        <w:rPr>
          <w:rFonts w:cs="Calibri"/>
          <w:b/>
          <w:color w:val="2D4B88"/>
          <w:sz w:val="28"/>
        </w:rPr>
        <w:fldChar w:fldCharType="separate"/>
      </w:r>
      <w:hyperlink w:anchor="_Toc132722354" w:history="1">
        <w:r w:rsidR="00F27DFF" w:rsidRPr="0005536E">
          <w:rPr>
            <w:rStyle w:val="Hipervnculo"/>
            <w:b/>
            <w:bCs/>
            <w:noProof/>
          </w:rPr>
          <w:t>Figura 1.</w:t>
        </w:r>
        <w:r w:rsidR="00F27DFF" w:rsidRPr="0005536E">
          <w:rPr>
            <w:rStyle w:val="Hipervnculo"/>
            <w:rFonts w:cs="Calibri"/>
            <w:noProof/>
          </w:rPr>
          <w:t xml:space="preserve"> Marco conceptual para la medición de la producción verde, dentro del ámbito de la Economía Verde.</w:t>
        </w:r>
        <w:r w:rsidR="00F27DFF">
          <w:rPr>
            <w:noProof/>
            <w:webHidden/>
          </w:rPr>
          <w:tab/>
        </w:r>
        <w:r w:rsidR="00F27DFF">
          <w:rPr>
            <w:noProof/>
            <w:webHidden/>
          </w:rPr>
          <w:fldChar w:fldCharType="begin"/>
        </w:r>
        <w:r w:rsidR="00F27DFF">
          <w:rPr>
            <w:noProof/>
            <w:webHidden/>
          </w:rPr>
          <w:instrText xml:space="preserve"> PAGEREF _Toc132722354 \h </w:instrText>
        </w:r>
        <w:r w:rsidR="00F27DFF">
          <w:rPr>
            <w:noProof/>
            <w:webHidden/>
          </w:rPr>
        </w:r>
        <w:r w:rsidR="00F27DFF">
          <w:rPr>
            <w:noProof/>
            <w:webHidden/>
          </w:rPr>
          <w:fldChar w:fldCharType="separate"/>
        </w:r>
        <w:r w:rsidR="00F27DFF">
          <w:rPr>
            <w:noProof/>
            <w:webHidden/>
          </w:rPr>
          <w:t>7</w:t>
        </w:r>
        <w:r w:rsidR="00F27DFF">
          <w:rPr>
            <w:noProof/>
            <w:webHidden/>
          </w:rPr>
          <w:fldChar w:fldCharType="end"/>
        </w:r>
      </w:hyperlink>
    </w:p>
    <w:p w14:paraId="5A046DAA" w14:textId="76ABF6BE" w:rsidR="00F27DFF" w:rsidRDefault="000F5FC7">
      <w:pPr>
        <w:pStyle w:val="Tabladeilustraciones"/>
        <w:tabs>
          <w:tab w:val="right" w:leader="hyphen" w:pos="8488"/>
        </w:tabs>
        <w:rPr>
          <w:rFonts w:asciiTheme="minorHAnsi" w:eastAsiaTheme="minorEastAsia" w:hAnsiTheme="minorHAnsi" w:cstheme="minorBidi"/>
          <w:noProof/>
          <w:lang w:val="es-EC" w:eastAsia="es-EC" w:bidi="ar-SA"/>
        </w:rPr>
      </w:pPr>
      <w:hyperlink w:anchor="_Toc132722355" w:history="1">
        <w:r w:rsidR="00F27DFF" w:rsidRPr="0005536E">
          <w:rPr>
            <w:rStyle w:val="Hipervnculo"/>
            <w:rFonts w:cstheme="minorHAnsi"/>
            <w:b/>
            <w:noProof/>
          </w:rPr>
          <w:t>Figura 2.</w:t>
        </w:r>
        <w:r w:rsidR="00F27DFF" w:rsidRPr="0005536E">
          <w:rPr>
            <w:rStyle w:val="Hipervnculo"/>
            <w:noProof/>
          </w:rPr>
          <w:t xml:space="preserve"> </w:t>
        </w:r>
        <w:r w:rsidR="00F27DFF" w:rsidRPr="0005536E">
          <w:rPr>
            <w:rStyle w:val="Hipervnculo"/>
            <w:rFonts w:cs="Calibri"/>
            <w:noProof/>
          </w:rPr>
          <w:t>IA Nacional y por tamaño de empresa, según actividad económica (Escala de 1 a 100).</w:t>
        </w:r>
        <w:r w:rsidR="00F27DFF">
          <w:rPr>
            <w:noProof/>
            <w:webHidden/>
          </w:rPr>
          <w:tab/>
        </w:r>
        <w:r w:rsidR="00F27DFF">
          <w:rPr>
            <w:noProof/>
            <w:webHidden/>
          </w:rPr>
          <w:fldChar w:fldCharType="begin"/>
        </w:r>
        <w:r w:rsidR="00F27DFF">
          <w:rPr>
            <w:noProof/>
            <w:webHidden/>
          </w:rPr>
          <w:instrText xml:space="preserve"> PAGEREF _Toc132722355 \h </w:instrText>
        </w:r>
        <w:r w:rsidR="00F27DFF">
          <w:rPr>
            <w:noProof/>
            <w:webHidden/>
          </w:rPr>
        </w:r>
        <w:r w:rsidR="00F27DFF">
          <w:rPr>
            <w:noProof/>
            <w:webHidden/>
          </w:rPr>
          <w:fldChar w:fldCharType="separate"/>
        </w:r>
        <w:r w:rsidR="00F27DFF">
          <w:rPr>
            <w:noProof/>
            <w:webHidden/>
          </w:rPr>
          <w:t>12</w:t>
        </w:r>
        <w:r w:rsidR="00F27DFF">
          <w:rPr>
            <w:noProof/>
            <w:webHidden/>
          </w:rPr>
          <w:fldChar w:fldCharType="end"/>
        </w:r>
      </w:hyperlink>
    </w:p>
    <w:p w14:paraId="76EFE7F3" w14:textId="1293C93A" w:rsidR="00F27DFF" w:rsidRDefault="000F5FC7">
      <w:pPr>
        <w:pStyle w:val="Tabladeilustraciones"/>
        <w:tabs>
          <w:tab w:val="right" w:leader="hyphen" w:pos="8488"/>
        </w:tabs>
        <w:rPr>
          <w:rFonts w:asciiTheme="minorHAnsi" w:eastAsiaTheme="minorEastAsia" w:hAnsiTheme="minorHAnsi" w:cstheme="minorBidi"/>
          <w:noProof/>
          <w:lang w:val="es-EC" w:eastAsia="es-EC" w:bidi="ar-SA"/>
        </w:rPr>
      </w:pPr>
      <w:hyperlink w:anchor="_Toc132722356" w:history="1">
        <w:r w:rsidR="00F27DFF" w:rsidRPr="0005536E">
          <w:rPr>
            <w:rStyle w:val="Hipervnculo"/>
            <w:rFonts w:cstheme="minorHAnsi"/>
            <w:b/>
            <w:noProof/>
          </w:rPr>
          <w:t>Figura 3.</w:t>
        </w:r>
        <w:r w:rsidR="00F27DFF" w:rsidRPr="0005536E">
          <w:rPr>
            <w:rStyle w:val="Hipervnculo"/>
            <w:rFonts w:cs="Calibri"/>
            <w:noProof/>
          </w:rPr>
          <w:t xml:space="preserve"> Personal ambiental medio por 100 empresas, por actividad económica (2020-2021).</w:t>
        </w:r>
        <w:r w:rsidR="00F27DFF">
          <w:rPr>
            <w:noProof/>
            <w:webHidden/>
          </w:rPr>
          <w:tab/>
        </w:r>
        <w:r w:rsidR="00F27DFF">
          <w:rPr>
            <w:noProof/>
            <w:webHidden/>
          </w:rPr>
          <w:fldChar w:fldCharType="begin"/>
        </w:r>
        <w:r w:rsidR="00F27DFF">
          <w:rPr>
            <w:noProof/>
            <w:webHidden/>
          </w:rPr>
          <w:instrText xml:space="preserve"> PAGEREF _Toc132722356 \h </w:instrText>
        </w:r>
        <w:r w:rsidR="00F27DFF">
          <w:rPr>
            <w:noProof/>
            <w:webHidden/>
          </w:rPr>
        </w:r>
        <w:r w:rsidR="00F27DFF">
          <w:rPr>
            <w:noProof/>
            <w:webHidden/>
          </w:rPr>
          <w:fldChar w:fldCharType="separate"/>
        </w:r>
        <w:r w:rsidR="00F27DFF">
          <w:rPr>
            <w:noProof/>
            <w:webHidden/>
          </w:rPr>
          <w:t>14</w:t>
        </w:r>
        <w:r w:rsidR="00F27DFF">
          <w:rPr>
            <w:noProof/>
            <w:webHidden/>
          </w:rPr>
          <w:fldChar w:fldCharType="end"/>
        </w:r>
      </w:hyperlink>
    </w:p>
    <w:p w14:paraId="6CA24345" w14:textId="76D54F9E" w:rsidR="00F27DFF" w:rsidRDefault="000F5FC7">
      <w:pPr>
        <w:pStyle w:val="Tabladeilustraciones"/>
        <w:tabs>
          <w:tab w:val="right" w:leader="hyphen" w:pos="8488"/>
        </w:tabs>
        <w:rPr>
          <w:rFonts w:asciiTheme="minorHAnsi" w:eastAsiaTheme="minorEastAsia" w:hAnsiTheme="minorHAnsi" w:cstheme="minorBidi"/>
          <w:noProof/>
          <w:lang w:val="es-EC" w:eastAsia="es-EC" w:bidi="ar-SA"/>
        </w:rPr>
      </w:pPr>
      <w:hyperlink w:anchor="_Toc132722357" w:history="1">
        <w:r w:rsidR="00F27DFF" w:rsidRPr="0005536E">
          <w:rPr>
            <w:rStyle w:val="Hipervnculo"/>
            <w:rFonts w:cstheme="minorHAnsi"/>
            <w:b/>
            <w:noProof/>
          </w:rPr>
          <w:t>Figura 4</w:t>
        </w:r>
        <w:r w:rsidR="00F27DFF" w:rsidRPr="0005536E">
          <w:rPr>
            <w:rStyle w:val="Hipervnculo"/>
            <w:b/>
            <w:bCs/>
            <w:noProof/>
          </w:rPr>
          <w:t>.</w:t>
        </w:r>
        <w:r w:rsidR="00F27DFF" w:rsidRPr="0005536E">
          <w:rPr>
            <w:rStyle w:val="Hipervnculo"/>
            <w:rFonts w:cs="Calibri"/>
            <w:noProof/>
          </w:rPr>
          <w:t xml:space="preserve"> Porcentaje de empresas con gastos corrientes ambientales (%), por actividad económica (2020-2021).</w:t>
        </w:r>
        <w:r w:rsidR="00F27DFF">
          <w:rPr>
            <w:noProof/>
            <w:webHidden/>
          </w:rPr>
          <w:tab/>
        </w:r>
        <w:r w:rsidR="00F27DFF">
          <w:rPr>
            <w:noProof/>
            <w:webHidden/>
          </w:rPr>
          <w:fldChar w:fldCharType="begin"/>
        </w:r>
        <w:r w:rsidR="00F27DFF">
          <w:rPr>
            <w:noProof/>
            <w:webHidden/>
          </w:rPr>
          <w:instrText xml:space="preserve"> PAGEREF _Toc132722357 \h </w:instrText>
        </w:r>
        <w:r w:rsidR="00F27DFF">
          <w:rPr>
            <w:noProof/>
            <w:webHidden/>
          </w:rPr>
        </w:r>
        <w:r w:rsidR="00F27DFF">
          <w:rPr>
            <w:noProof/>
            <w:webHidden/>
          </w:rPr>
          <w:fldChar w:fldCharType="separate"/>
        </w:r>
        <w:r w:rsidR="00F27DFF">
          <w:rPr>
            <w:noProof/>
            <w:webHidden/>
          </w:rPr>
          <w:t>14</w:t>
        </w:r>
        <w:r w:rsidR="00F27DFF">
          <w:rPr>
            <w:noProof/>
            <w:webHidden/>
          </w:rPr>
          <w:fldChar w:fldCharType="end"/>
        </w:r>
      </w:hyperlink>
    </w:p>
    <w:p w14:paraId="27FBA0C9" w14:textId="27987E0F" w:rsidR="00F27DFF" w:rsidRDefault="000F5FC7">
      <w:pPr>
        <w:pStyle w:val="Tabladeilustraciones"/>
        <w:tabs>
          <w:tab w:val="right" w:leader="hyphen" w:pos="8488"/>
        </w:tabs>
        <w:rPr>
          <w:rFonts w:asciiTheme="minorHAnsi" w:eastAsiaTheme="minorEastAsia" w:hAnsiTheme="minorHAnsi" w:cstheme="minorBidi"/>
          <w:noProof/>
          <w:lang w:val="es-EC" w:eastAsia="es-EC" w:bidi="ar-SA"/>
        </w:rPr>
      </w:pPr>
      <w:hyperlink w:anchor="_Toc132722358" w:history="1">
        <w:r w:rsidR="00F27DFF" w:rsidRPr="0005536E">
          <w:rPr>
            <w:rStyle w:val="Hipervnculo"/>
            <w:rFonts w:cstheme="minorHAnsi"/>
            <w:b/>
            <w:noProof/>
          </w:rPr>
          <w:t>Figura 5</w:t>
        </w:r>
        <w:r w:rsidR="00F27DFF" w:rsidRPr="0005536E">
          <w:rPr>
            <w:rStyle w:val="Hipervnculo"/>
            <w:b/>
            <w:bCs/>
            <w:noProof/>
          </w:rPr>
          <w:t>.</w:t>
        </w:r>
        <w:r w:rsidR="00F27DFF" w:rsidRPr="0005536E">
          <w:rPr>
            <w:rStyle w:val="Hipervnculo"/>
            <w:noProof/>
          </w:rPr>
          <w:t xml:space="preserve"> </w:t>
        </w:r>
        <w:r w:rsidR="00F27DFF" w:rsidRPr="0005536E">
          <w:rPr>
            <w:rStyle w:val="Hipervnculo"/>
            <w:rFonts w:cs="Calibri"/>
            <w:noProof/>
          </w:rPr>
          <w:t>Gasto corriente ambiental medio (US$ corrientes 2021) por empresa, según actividad económica (2020-2021).</w:t>
        </w:r>
        <w:r w:rsidR="00F27DFF">
          <w:rPr>
            <w:noProof/>
            <w:webHidden/>
          </w:rPr>
          <w:tab/>
        </w:r>
        <w:r w:rsidR="00F27DFF">
          <w:rPr>
            <w:noProof/>
            <w:webHidden/>
          </w:rPr>
          <w:fldChar w:fldCharType="begin"/>
        </w:r>
        <w:r w:rsidR="00F27DFF">
          <w:rPr>
            <w:noProof/>
            <w:webHidden/>
          </w:rPr>
          <w:instrText xml:space="preserve"> PAGEREF _Toc132722358 \h </w:instrText>
        </w:r>
        <w:r w:rsidR="00F27DFF">
          <w:rPr>
            <w:noProof/>
            <w:webHidden/>
          </w:rPr>
        </w:r>
        <w:r w:rsidR="00F27DFF">
          <w:rPr>
            <w:noProof/>
            <w:webHidden/>
          </w:rPr>
          <w:fldChar w:fldCharType="separate"/>
        </w:r>
        <w:r w:rsidR="00F27DFF">
          <w:rPr>
            <w:noProof/>
            <w:webHidden/>
          </w:rPr>
          <w:t>15</w:t>
        </w:r>
        <w:r w:rsidR="00F27DFF">
          <w:rPr>
            <w:noProof/>
            <w:webHidden/>
          </w:rPr>
          <w:fldChar w:fldCharType="end"/>
        </w:r>
      </w:hyperlink>
    </w:p>
    <w:p w14:paraId="7B53F617" w14:textId="505308E3" w:rsidR="00F27DFF" w:rsidRDefault="000F5FC7">
      <w:pPr>
        <w:pStyle w:val="Tabladeilustraciones"/>
        <w:tabs>
          <w:tab w:val="right" w:leader="hyphen" w:pos="8488"/>
        </w:tabs>
        <w:rPr>
          <w:rFonts w:asciiTheme="minorHAnsi" w:eastAsiaTheme="minorEastAsia" w:hAnsiTheme="minorHAnsi" w:cstheme="minorBidi"/>
          <w:noProof/>
          <w:lang w:val="es-EC" w:eastAsia="es-EC" w:bidi="ar-SA"/>
        </w:rPr>
      </w:pPr>
      <w:hyperlink w:anchor="_Toc132722359" w:history="1">
        <w:r w:rsidR="00F27DFF" w:rsidRPr="0005536E">
          <w:rPr>
            <w:rStyle w:val="Hipervnculo"/>
            <w:rFonts w:cstheme="minorHAnsi"/>
            <w:b/>
            <w:noProof/>
          </w:rPr>
          <w:t>Figura 6</w:t>
        </w:r>
        <w:r w:rsidR="00F27DFF" w:rsidRPr="0005536E">
          <w:rPr>
            <w:rStyle w:val="Hipervnculo"/>
            <w:b/>
            <w:bCs/>
            <w:noProof/>
          </w:rPr>
          <w:t>.</w:t>
        </w:r>
        <w:r w:rsidR="00F27DFF" w:rsidRPr="0005536E">
          <w:rPr>
            <w:rStyle w:val="Hipervnculo"/>
            <w:rFonts w:cs="Calibri"/>
            <w:b/>
            <w:noProof/>
          </w:rPr>
          <w:t xml:space="preserve"> </w:t>
        </w:r>
        <w:r w:rsidR="00F27DFF" w:rsidRPr="0005536E">
          <w:rPr>
            <w:rStyle w:val="Hipervnculo"/>
            <w:rFonts w:cs="Calibri"/>
            <w:noProof/>
          </w:rPr>
          <w:t>Intensidad energética* (MJ / US$ corrientes), por actividad económica (2020-2021).</w:t>
        </w:r>
        <w:r w:rsidR="00F27DFF">
          <w:rPr>
            <w:noProof/>
            <w:webHidden/>
          </w:rPr>
          <w:tab/>
        </w:r>
        <w:r w:rsidR="00F27DFF">
          <w:rPr>
            <w:noProof/>
            <w:webHidden/>
          </w:rPr>
          <w:fldChar w:fldCharType="begin"/>
        </w:r>
        <w:r w:rsidR="00F27DFF">
          <w:rPr>
            <w:noProof/>
            <w:webHidden/>
          </w:rPr>
          <w:instrText xml:space="preserve"> PAGEREF _Toc132722359 \h </w:instrText>
        </w:r>
        <w:r w:rsidR="00F27DFF">
          <w:rPr>
            <w:noProof/>
            <w:webHidden/>
          </w:rPr>
        </w:r>
        <w:r w:rsidR="00F27DFF">
          <w:rPr>
            <w:noProof/>
            <w:webHidden/>
          </w:rPr>
          <w:fldChar w:fldCharType="separate"/>
        </w:r>
        <w:r w:rsidR="00F27DFF">
          <w:rPr>
            <w:noProof/>
            <w:webHidden/>
          </w:rPr>
          <w:t>16</w:t>
        </w:r>
        <w:r w:rsidR="00F27DFF">
          <w:rPr>
            <w:noProof/>
            <w:webHidden/>
          </w:rPr>
          <w:fldChar w:fldCharType="end"/>
        </w:r>
      </w:hyperlink>
    </w:p>
    <w:p w14:paraId="5F14BD99" w14:textId="08A28230" w:rsidR="00F27DFF" w:rsidRDefault="000F5FC7">
      <w:pPr>
        <w:pStyle w:val="Tabladeilustraciones"/>
        <w:tabs>
          <w:tab w:val="right" w:leader="hyphen" w:pos="8488"/>
        </w:tabs>
        <w:rPr>
          <w:rFonts w:asciiTheme="minorHAnsi" w:eastAsiaTheme="minorEastAsia" w:hAnsiTheme="minorHAnsi" w:cstheme="minorBidi"/>
          <w:noProof/>
          <w:lang w:val="es-EC" w:eastAsia="es-EC" w:bidi="ar-SA"/>
        </w:rPr>
      </w:pPr>
      <w:hyperlink w:anchor="_Toc132722360" w:history="1">
        <w:r w:rsidR="00F27DFF" w:rsidRPr="0005536E">
          <w:rPr>
            <w:rStyle w:val="Hipervnculo"/>
            <w:rFonts w:cstheme="minorHAnsi"/>
            <w:b/>
            <w:noProof/>
          </w:rPr>
          <w:t>Figura 7</w:t>
        </w:r>
        <w:r w:rsidR="00F27DFF" w:rsidRPr="0005536E">
          <w:rPr>
            <w:rStyle w:val="Hipervnculo"/>
            <w:b/>
            <w:bCs/>
            <w:noProof/>
          </w:rPr>
          <w:t>.</w:t>
        </w:r>
        <w:r w:rsidR="00F27DFF" w:rsidRPr="0005536E">
          <w:rPr>
            <w:rStyle w:val="Hipervnculo"/>
            <w:noProof/>
          </w:rPr>
          <w:t xml:space="preserve"> </w:t>
        </w:r>
        <w:r w:rsidR="00F27DFF" w:rsidRPr="0005536E">
          <w:rPr>
            <w:rStyle w:val="Hipervnculo"/>
            <w:rFonts w:cs="Calibri"/>
            <w:noProof/>
          </w:rPr>
          <w:t>Uso principal de los combustibles fósiles usados por las empresas, % (2020-2021).</w:t>
        </w:r>
        <w:r w:rsidR="00F27DFF">
          <w:rPr>
            <w:noProof/>
            <w:webHidden/>
          </w:rPr>
          <w:tab/>
        </w:r>
        <w:r w:rsidR="00F27DFF">
          <w:rPr>
            <w:noProof/>
            <w:webHidden/>
          </w:rPr>
          <w:fldChar w:fldCharType="begin"/>
        </w:r>
        <w:r w:rsidR="00F27DFF">
          <w:rPr>
            <w:noProof/>
            <w:webHidden/>
          </w:rPr>
          <w:instrText xml:space="preserve"> PAGEREF _Toc132722360 \h </w:instrText>
        </w:r>
        <w:r w:rsidR="00F27DFF">
          <w:rPr>
            <w:noProof/>
            <w:webHidden/>
          </w:rPr>
        </w:r>
        <w:r w:rsidR="00F27DFF">
          <w:rPr>
            <w:noProof/>
            <w:webHidden/>
          </w:rPr>
          <w:fldChar w:fldCharType="separate"/>
        </w:r>
        <w:r w:rsidR="00F27DFF">
          <w:rPr>
            <w:noProof/>
            <w:webHidden/>
          </w:rPr>
          <w:t>17</w:t>
        </w:r>
        <w:r w:rsidR="00F27DFF">
          <w:rPr>
            <w:noProof/>
            <w:webHidden/>
          </w:rPr>
          <w:fldChar w:fldCharType="end"/>
        </w:r>
      </w:hyperlink>
    </w:p>
    <w:p w14:paraId="39BA907E" w14:textId="6BF9080C" w:rsidR="00F27DFF" w:rsidRDefault="000F5FC7">
      <w:pPr>
        <w:pStyle w:val="Tabladeilustraciones"/>
        <w:tabs>
          <w:tab w:val="right" w:leader="hyphen" w:pos="8488"/>
        </w:tabs>
        <w:rPr>
          <w:rFonts w:asciiTheme="minorHAnsi" w:eastAsiaTheme="minorEastAsia" w:hAnsiTheme="minorHAnsi" w:cstheme="minorBidi"/>
          <w:noProof/>
          <w:lang w:val="es-EC" w:eastAsia="es-EC" w:bidi="ar-SA"/>
        </w:rPr>
      </w:pPr>
      <w:hyperlink w:anchor="_Toc132722361" w:history="1">
        <w:r w:rsidR="00F27DFF" w:rsidRPr="0005536E">
          <w:rPr>
            <w:rStyle w:val="Hipervnculo"/>
            <w:rFonts w:cstheme="minorHAnsi"/>
            <w:b/>
            <w:noProof/>
          </w:rPr>
          <w:t>Figura 8</w:t>
        </w:r>
        <w:r w:rsidR="00F27DFF" w:rsidRPr="0005536E">
          <w:rPr>
            <w:rStyle w:val="Hipervnculo"/>
            <w:b/>
            <w:bCs/>
            <w:noProof/>
          </w:rPr>
          <w:t>.</w:t>
        </w:r>
        <w:r w:rsidR="00F27DFF" w:rsidRPr="0005536E">
          <w:rPr>
            <w:rStyle w:val="Hipervnculo"/>
            <w:noProof/>
          </w:rPr>
          <w:t xml:space="preserve"> </w:t>
        </w:r>
        <w:r w:rsidR="00F27DFF" w:rsidRPr="0005536E">
          <w:rPr>
            <w:rStyle w:val="Hipervnculo"/>
            <w:rFonts w:cs="Calibri"/>
            <w:noProof/>
          </w:rPr>
          <w:t>Intensidad de generación de CO</w:t>
        </w:r>
        <w:r w:rsidR="00F27DFF" w:rsidRPr="0005536E">
          <w:rPr>
            <w:rStyle w:val="Hipervnculo"/>
            <w:rFonts w:cs="Calibri"/>
            <w:noProof/>
            <w:vertAlign w:val="subscript"/>
          </w:rPr>
          <w:t>2</w:t>
        </w:r>
        <w:r w:rsidR="00F27DFF" w:rsidRPr="0005536E">
          <w:rPr>
            <w:rStyle w:val="Hipervnculo"/>
            <w:rFonts w:cs="Calibri"/>
            <w:noProof/>
          </w:rPr>
          <w:t xml:space="preserve"> (kg CO</w:t>
        </w:r>
        <w:r w:rsidR="00F27DFF" w:rsidRPr="0005536E">
          <w:rPr>
            <w:rStyle w:val="Hipervnculo"/>
            <w:rFonts w:cs="Calibri"/>
            <w:noProof/>
            <w:vertAlign w:val="subscript"/>
          </w:rPr>
          <w:t>2</w:t>
        </w:r>
        <w:r w:rsidR="00F27DFF" w:rsidRPr="0005536E">
          <w:rPr>
            <w:rStyle w:val="Hipervnculo"/>
            <w:rFonts w:cs="Calibri"/>
            <w:noProof/>
          </w:rPr>
          <w:t>-eq/ US$ corrientes), por actividad económica (2020-2021).</w:t>
        </w:r>
        <w:r w:rsidR="00F27DFF">
          <w:rPr>
            <w:noProof/>
            <w:webHidden/>
          </w:rPr>
          <w:tab/>
        </w:r>
        <w:r w:rsidR="00F27DFF">
          <w:rPr>
            <w:noProof/>
            <w:webHidden/>
          </w:rPr>
          <w:fldChar w:fldCharType="begin"/>
        </w:r>
        <w:r w:rsidR="00F27DFF">
          <w:rPr>
            <w:noProof/>
            <w:webHidden/>
          </w:rPr>
          <w:instrText xml:space="preserve"> PAGEREF _Toc132722361 \h </w:instrText>
        </w:r>
        <w:r w:rsidR="00F27DFF">
          <w:rPr>
            <w:noProof/>
            <w:webHidden/>
          </w:rPr>
        </w:r>
        <w:r w:rsidR="00F27DFF">
          <w:rPr>
            <w:noProof/>
            <w:webHidden/>
          </w:rPr>
          <w:fldChar w:fldCharType="separate"/>
        </w:r>
        <w:r w:rsidR="00F27DFF">
          <w:rPr>
            <w:noProof/>
            <w:webHidden/>
          </w:rPr>
          <w:t>18</w:t>
        </w:r>
        <w:r w:rsidR="00F27DFF">
          <w:rPr>
            <w:noProof/>
            <w:webHidden/>
          </w:rPr>
          <w:fldChar w:fldCharType="end"/>
        </w:r>
      </w:hyperlink>
    </w:p>
    <w:p w14:paraId="4545F98E" w14:textId="7CAFC210" w:rsidR="00F27DFF" w:rsidRDefault="000F5FC7">
      <w:pPr>
        <w:pStyle w:val="Tabladeilustraciones"/>
        <w:tabs>
          <w:tab w:val="right" w:leader="hyphen" w:pos="8488"/>
        </w:tabs>
        <w:rPr>
          <w:rFonts w:asciiTheme="minorHAnsi" w:eastAsiaTheme="minorEastAsia" w:hAnsiTheme="minorHAnsi" w:cstheme="minorBidi"/>
          <w:noProof/>
          <w:lang w:val="es-EC" w:eastAsia="es-EC" w:bidi="ar-SA"/>
        </w:rPr>
      </w:pPr>
      <w:hyperlink w:anchor="_Toc132722362" w:history="1">
        <w:r w:rsidR="00F27DFF" w:rsidRPr="0005536E">
          <w:rPr>
            <w:rStyle w:val="Hipervnculo"/>
            <w:rFonts w:cstheme="minorHAnsi"/>
            <w:b/>
            <w:noProof/>
          </w:rPr>
          <w:t>Figura 9</w:t>
        </w:r>
        <w:r w:rsidR="00F27DFF" w:rsidRPr="0005536E">
          <w:rPr>
            <w:rStyle w:val="Hipervnculo"/>
            <w:b/>
            <w:bCs/>
            <w:noProof/>
          </w:rPr>
          <w:t>.</w:t>
        </w:r>
        <w:r w:rsidR="00F27DFF" w:rsidRPr="0005536E">
          <w:rPr>
            <w:rStyle w:val="Hipervnculo"/>
            <w:noProof/>
          </w:rPr>
          <w:t xml:space="preserve"> </w:t>
        </w:r>
        <w:r w:rsidR="00F27DFF" w:rsidRPr="0005536E">
          <w:rPr>
            <w:rStyle w:val="Hipervnculo"/>
            <w:rFonts w:cs="Calibri"/>
            <w:noProof/>
          </w:rPr>
          <w:t>Intensidad de uso de agua (m</w:t>
        </w:r>
        <w:r w:rsidR="00F27DFF" w:rsidRPr="0005536E">
          <w:rPr>
            <w:rStyle w:val="Hipervnculo"/>
            <w:rFonts w:cs="Calibri"/>
            <w:noProof/>
            <w:vertAlign w:val="superscript"/>
          </w:rPr>
          <w:t>3</w:t>
        </w:r>
        <w:r w:rsidR="00F27DFF" w:rsidRPr="0005536E">
          <w:rPr>
            <w:rStyle w:val="Hipervnculo"/>
            <w:rFonts w:cs="Calibri"/>
            <w:noProof/>
          </w:rPr>
          <w:t xml:space="preserve"> H</w:t>
        </w:r>
        <w:r w:rsidR="00F27DFF" w:rsidRPr="0005536E">
          <w:rPr>
            <w:rStyle w:val="Hipervnculo"/>
            <w:rFonts w:cs="Calibri"/>
            <w:noProof/>
            <w:vertAlign w:val="subscript"/>
          </w:rPr>
          <w:t>2</w:t>
        </w:r>
        <w:r w:rsidR="00F27DFF" w:rsidRPr="0005536E">
          <w:rPr>
            <w:rStyle w:val="Hipervnculo"/>
            <w:rFonts w:cs="Calibri"/>
            <w:noProof/>
          </w:rPr>
          <w:t>O / 1000 US$ corrientes), por actividad económica (2020-2021).</w:t>
        </w:r>
        <w:r w:rsidR="00F27DFF">
          <w:rPr>
            <w:noProof/>
            <w:webHidden/>
          </w:rPr>
          <w:tab/>
        </w:r>
        <w:r w:rsidR="00F27DFF">
          <w:rPr>
            <w:noProof/>
            <w:webHidden/>
          </w:rPr>
          <w:fldChar w:fldCharType="begin"/>
        </w:r>
        <w:r w:rsidR="00F27DFF">
          <w:rPr>
            <w:noProof/>
            <w:webHidden/>
          </w:rPr>
          <w:instrText xml:space="preserve"> PAGEREF _Toc132722362 \h </w:instrText>
        </w:r>
        <w:r w:rsidR="00F27DFF">
          <w:rPr>
            <w:noProof/>
            <w:webHidden/>
          </w:rPr>
        </w:r>
        <w:r w:rsidR="00F27DFF">
          <w:rPr>
            <w:noProof/>
            <w:webHidden/>
          </w:rPr>
          <w:fldChar w:fldCharType="separate"/>
        </w:r>
        <w:r w:rsidR="00F27DFF">
          <w:rPr>
            <w:noProof/>
            <w:webHidden/>
          </w:rPr>
          <w:t>19</w:t>
        </w:r>
        <w:r w:rsidR="00F27DFF">
          <w:rPr>
            <w:noProof/>
            <w:webHidden/>
          </w:rPr>
          <w:fldChar w:fldCharType="end"/>
        </w:r>
      </w:hyperlink>
    </w:p>
    <w:p w14:paraId="288396E0" w14:textId="70447B7F" w:rsidR="00F27DFF" w:rsidRDefault="000F5FC7">
      <w:pPr>
        <w:pStyle w:val="Tabladeilustraciones"/>
        <w:tabs>
          <w:tab w:val="right" w:leader="hyphen" w:pos="8488"/>
        </w:tabs>
        <w:rPr>
          <w:rFonts w:asciiTheme="minorHAnsi" w:eastAsiaTheme="minorEastAsia" w:hAnsiTheme="minorHAnsi" w:cstheme="minorBidi"/>
          <w:noProof/>
          <w:lang w:val="es-EC" w:eastAsia="es-EC" w:bidi="ar-SA"/>
        </w:rPr>
      </w:pPr>
      <w:hyperlink w:anchor="_Toc132722363" w:history="1">
        <w:r w:rsidR="00F27DFF" w:rsidRPr="0005536E">
          <w:rPr>
            <w:rStyle w:val="Hipervnculo"/>
            <w:b/>
            <w:bCs/>
            <w:noProof/>
          </w:rPr>
          <w:t>Figura 10</w:t>
        </w:r>
        <w:r w:rsidR="00F27DFF" w:rsidRPr="0005536E">
          <w:rPr>
            <w:rStyle w:val="Hipervnculo"/>
            <w:noProof/>
          </w:rPr>
          <w:t xml:space="preserve">. </w:t>
        </w:r>
        <w:r w:rsidR="00F27DFF" w:rsidRPr="0005536E">
          <w:rPr>
            <w:rStyle w:val="Hipervnculo"/>
            <w:rFonts w:cs="Calibri"/>
            <w:noProof/>
          </w:rPr>
          <w:t>Empresas que trataron sus aguas residuales (% del total que tratan sus aguas residuales), por actividad económica (2021).</w:t>
        </w:r>
        <w:r w:rsidR="00F27DFF">
          <w:rPr>
            <w:noProof/>
            <w:webHidden/>
          </w:rPr>
          <w:tab/>
        </w:r>
        <w:r w:rsidR="00F27DFF">
          <w:rPr>
            <w:noProof/>
            <w:webHidden/>
          </w:rPr>
          <w:fldChar w:fldCharType="begin"/>
        </w:r>
        <w:r w:rsidR="00F27DFF">
          <w:rPr>
            <w:noProof/>
            <w:webHidden/>
          </w:rPr>
          <w:instrText xml:space="preserve"> PAGEREF _Toc132722363 \h </w:instrText>
        </w:r>
        <w:r w:rsidR="00F27DFF">
          <w:rPr>
            <w:noProof/>
            <w:webHidden/>
          </w:rPr>
        </w:r>
        <w:r w:rsidR="00F27DFF">
          <w:rPr>
            <w:noProof/>
            <w:webHidden/>
          </w:rPr>
          <w:fldChar w:fldCharType="separate"/>
        </w:r>
        <w:r w:rsidR="00F27DFF">
          <w:rPr>
            <w:noProof/>
            <w:webHidden/>
          </w:rPr>
          <w:t>20</w:t>
        </w:r>
        <w:r w:rsidR="00F27DFF">
          <w:rPr>
            <w:noProof/>
            <w:webHidden/>
          </w:rPr>
          <w:fldChar w:fldCharType="end"/>
        </w:r>
      </w:hyperlink>
    </w:p>
    <w:p w14:paraId="5B3FE47E" w14:textId="791A60D0" w:rsidR="00F27DFF" w:rsidRDefault="000F5FC7">
      <w:pPr>
        <w:pStyle w:val="Tabladeilustraciones"/>
        <w:tabs>
          <w:tab w:val="right" w:leader="hyphen" w:pos="8488"/>
        </w:tabs>
        <w:rPr>
          <w:rFonts w:asciiTheme="minorHAnsi" w:eastAsiaTheme="minorEastAsia" w:hAnsiTheme="minorHAnsi" w:cstheme="minorBidi"/>
          <w:noProof/>
          <w:lang w:val="es-EC" w:eastAsia="es-EC" w:bidi="ar-SA"/>
        </w:rPr>
      </w:pPr>
      <w:hyperlink w:anchor="_Toc132722364" w:history="1">
        <w:r w:rsidR="00F27DFF" w:rsidRPr="0005536E">
          <w:rPr>
            <w:rStyle w:val="Hipervnculo"/>
            <w:b/>
            <w:bCs/>
            <w:noProof/>
          </w:rPr>
          <w:t>Figura 11.</w:t>
        </w:r>
        <w:r w:rsidR="00F27DFF" w:rsidRPr="0005536E">
          <w:rPr>
            <w:rStyle w:val="Hipervnculo"/>
            <w:noProof/>
          </w:rPr>
          <w:t xml:space="preserve"> </w:t>
        </w:r>
        <w:r w:rsidR="00F27DFF" w:rsidRPr="0005536E">
          <w:rPr>
            <w:rStyle w:val="Hipervnculo"/>
            <w:rFonts w:cs="Calibri"/>
            <w:noProof/>
          </w:rPr>
          <w:t>Empresas que trataron sus aguas residuales (% del total que tratan sus aguas residuales), por tipo de tratamiento (2021).</w:t>
        </w:r>
        <w:r w:rsidR="00F27DFF">
          <w:rPr>
            <w:noProof/>
            <w:webHidden/>
          </w:rPr>
          <w:tab/>
        </w:r>
        <w:r w:rsidR="00F27DFF">
          <w:rPr>
            <w:noProof/>
            <w:webHidden/>
          </w:rPr>
          <w:fldChar w:fldCharType="begin"/>
        </w:r>
        <w:r w:rsidR="00F27DFF">
          <w:rPr>
            <w:noProof/>
            <w:webHidden/>
          </w:rPr>
          <w:instrText xml:space="preserve"> PAGEREF _Toc132722364 \h </w:instrText>
        </w:r>
        <w:r w:rsidR="00F27DFF">
          <w:rPr>
            <w:noProof/>
            <w:webHidden/>
          </w:rPr>
        </w:r>
        <w:r w:rsidR="00F27DFF">
          <w:rPr>
            <w:noProof/>
            <w:webHidden/>
          </w:rPr>
          <w:fldChar w:fldCharType="separate"/>
        </w:r>
        <w:r w:rsidR="00F27DFF">
          <w:rPr>
            <w:noProof/>
            <w:webHidden/>
          </w:rPr>
          <w:t>20</w:t>
        </w:r>
        <w:r w:rsidR="00F27DFF">
          <w:rPr>
            <w:noProof/>
            <w:webHidden/>
          </w:rPr>
          <w:fldChar w:fldCharType="end"/>
        </w:r>
      </w:hyperlink>
    </w:p>
    <w:p w14:paraId="3D2D9CCD" w14:textId="2FB755BE" w:rsidR="00F27DFF" w:rsidRDefault="000F5FC7">
      <w:pPr>
        <w:pStyle w:val="Tabladeilustraciones"/>
        <w:tabs>
          <w:tab w:val="right" w:leader="hyphen" w:pos="8488"/>
        </w:tabs>
        <w:rPr>
          <w:rFonts w:asciiTheme="minorHAnsi" w:eastAsiaTheme="minorEastAsia" w:hAnsiTheme="minorHAnsi" w:cstheme="minorBidi"/>
          <w:noProof/>
          <w:lang w:val="es-EC" w:eastAsia="es-EC" w:bidi="ar-SA"/>
        </w:rPr>
      </w:pPr>
      <w:hyperlink w:anchor="_Toc132722365" w:history="1">
        <w:r w:rsidR="00F27DFF" w:rsidRPr="0005536E">
          <w:rPr>
            <w:rStyle w:val="Hipervnculo"/>
            <w:b/>
            <w:bCs/>
            <w:noProof/>
          </w:rPr>
          <w:t>Figura 12.</w:t>
        </w:r>
        <w:r w:rsidR="00F27DFF" w:rsidRPr="0005536E">
          <w:rPr>
            <w:rStyle w:val="Hipervnculo"/>
            <w:noProof/>
          </w:rPr>
          <w:t xml:space="preserve"> </w:t>
        </w:r>
        <w:r w:rsidR="00F27DFF" w:rsidRPr="0005536E">
          <w:rPr>
            <w:rStyle w:val="Hipervnculo"/>
            <w:rFonts w:cs="Calibri"/>
            <w:noProof/>
          </w:rPr>
          <w:t>Porcentaje del volumen total de aguas tratadas (% del volumen de agua tratada), por tipo de tratamiento (2021).</w:t>
        </w:r>
        <w:r w:rsidR="00F27DFF">
          <w:rPr>
            <w:noProof/>
            <w:webHidden/>
          </w:rPr>
          <w:tab/>
        </w:r>
        <w:r w:rsidR="00F27DFF">
          <w:rPr>
            <w:noProof/>
            <w:webHidden/>
          </w:rPr>
          <w:fldChar w:fldCharType="begin"/>
        </w:r>
        <w:r w:rsidR="00F27DFF">
          <w:rPr>
            <w:noProof/>
            <w:webHidden/>
          </w:rPr>
          <w:instrText xml:space="preserve"> PAGEREF _Toc132722365 \h </w:instrText>
        </w:r>
        <w:r w:rsidR="00F27DFF">
          <w:rPr>
            <w:noProof/>
            <w:webHidden/>
          </w:rPr>
        </w:r>
        <w:r w:rsidR="00F27DFF">
          <w:rPr>
            <w:noProof/>
            <w:webHidden/>
          </w:rPr>
          <w:fldChar w:fldCharType="separate"/>
        </w:r>
        <w:r w:rsidR="00F27DFF">
          <w:rPr>
            <w:noProof/>
            <w:webHidden/>
          </w:rPr>
          <w:t>21</w:t>
        </w:r>
        <w:r w:rsidR="00F27DFF">
          <w:rPr>
            <w:noProof/>
            <w:webHidden/>
          </w:rPr>
          <w:fldChar w:fldCharType="end"/>
        </w:r>
      </w:hyperlink>
    </w:p>
    <w:p w14:paraId="272F38EF" w14:textId="19E534F3" w:rsidR="00826E44" w:rsidRPr="00144CD1" w:rsidRDefault="00826E44" w:rsidP="00826E44">
      <w:pPr>
        <w:outlineLvl w:val="0"/>
        <w:rPr>
          <w:rFonts w:cs="Calibri"/>
          <w:b/>
          <w:color w:val="2D4B88"/>
          <w:sz w:val="28"/>
        </w:rPr>
      </w:pPr>
      <w:r>
        <w:rPr>
          <w:rFonts w:cs="Calibri"/>
          <w:b/>
          <w:color w:val="2D4B88"/>
          <w:sz w:val="28"/>
        </w:rPr>
        <w:fldChar w:fldCharType="end"/>
      </w:r>
    </w:p>
    <w:p w14:paraId="59A7DD6C" w14:textId="77777777" w:rsidR="00826E44" w:rsidRDefault="00826E44" w:rsidP="00826E44">
      <w:pPr>
        <w:rPr>
          <w:rFonts w:eastAsiaTheme="majorEastAsia" w:cstheme="majorBidi"/>
          <w:b/>
          <w:bCs/>
          <w:color w:val="2F5496" w:themeColor="accent1" w:themeShade="BF"/>
          <w:sz w:val="28"/>
          <w:szCs w:val="28"/>
        </w:rPr>
      </w:pPr>
      <w:r>
        <w:br w:type="page"/>
      </w:r>
    </w:p>
    <w:p w14:paraId="17E665B5" w14:textId="77777777" w:rsidR="00826E44" w:rsidRPr="001B7D04" w:rsidRDefault="00826E44" w:rsidP="00826E44">
      <w:pPr>
        <w:pStyle w:val="TtuloTDC"/>
        <w:rPr>
          <w:b/>
          <w:color w:val="767171" w:themeColor="background2" w:themeShade="80"/>
          <w:lang w:val="es-ES"/>
        </w:rPr>
      </w:pPr>
      <w:r w:rsidRPr="001B7D04">
        <w:rPr>
          <w:b/>
          <w:color w:val="767171" w:themeColor="background2" w:themeShade="80"/>
          <w:lang w:val="es-ES"/>
        </w:rPr>
        <w:lastRenderedPageBreak/>
        <w:t>Índice de Tablas</w:t>
      </w:r>
    </w:p>
    <w:p w14:paraId="7CD892B0" w14:textId="77777777" w:rsidR="00826E44" w:rsidRDefault="00826E44" w:rsidP="00826E44">
      <w:pPr>
        <w:pStyle w:val="Tabladeilustraciones"/>
        <w:tabs>
          <w:tab w:val="right" w:leader="dot" w:pos="8488"/>
        </w:tabs>
        <w:rPr>
          <w:rFonts w:eastAsiaTheme="majorEastAsia" w:cstheme="majorBidi"/>
          <w:b/>
          <w:bCs/>
          <w:color w:val="2F5496" w:themeColor="accent1" w:themeShade="BF"/>
          <w:sz w:val="28"/>
          <w:szCs w:val="28"/>
        </w:rPr>
      </w:pPr>
    </w:p>
    <w:p w14:paraId="1FF2B7D3" w14:textId="31CF8F8B" w:rsidR="00F27DFF" w:rsidRDefault="00826E44">
      <w:pPr>
        <w:pStyle w:val="Tabladeilustraciones"/>
        <w:tabs>
          <w:tab w:val="right" w:leader="dot" w:pos="8488"/>
        </w:tabs>
        <w:rPr>
          <w:rFonts w:asciiTheme="minorHAnsi" w:eastAsiaTheme="minorEastAsia" w:hAnsiTheme="minorHAnsi" w:cstheme="minorBidi"/>
          <w:noProof/>
          <w:lang w:val="es-EC" w:eastAsia="es-EC" w:bidi="ar-SA"/>
        </w:rPr>
      </w:pPr>
      <w:r>
        <w:rPr>
          <w:rFonts w:eastAsiaTheme="majorEastAsia" w:cstheme="majorBidi"/>
          <w:b/>
          <w:bCs/>
          <w:color w:val="2F5496" w:themeColor="accent1" w:themeShade="BF"/>
          <w:sz w:val="28"/>
          <w:szCs w:val="28"/>
        </w:rPr>
        <w:fldChar w:fldCharType="begin"/>
      </w:r>
      <w:r>
        <w:rPr>
          <w:rFonts w:eastAsiaTheme="majorEastAsia" w:cstheme="majorBidi"/>
          <w:b/>
          <w:bCs/>
          <w:color w:val="2F5496" w:themeColor="accent1" w:themeShade="BF"/>
          <w:sz w:val="28"/>
          <w:szCs w:val="28"/>
        </w:rPr>
        <w:instrText xml:space="preserve"> TOC \h \z \c "Tabla" </w:instrText>
      </w:r>
      <w:r>
        <w:rPr>
          <w:rFonts w:eastAsiaTheme="majorEastAsia" w:cstheme="majorBidi"/>
          <w:b/>
          <w:bCs/>
          <w:color w:val="2F5496" w:themeColor="accent1" w:themeShade="BF"/>
          <w:sz w:val="28"/>
          <w:szCs w:val="28"/>
        </w:rPr>
        <w:fldChar w:fldCharType="separate"/>
      </w:r>
      <w:hyperlink w:anchor="_Toc132722366" w:history="1">
        <w:r w:rsidR="00F27DFF" w:rsidRPr="008F0D5B">
          <w:rPr>
            <w:rStyle w:val="Hipervnculo"/>
            <w:b/>
            <w:bCs/>
            <w:noProof/>
          </w:rPr>
          <w:t xml:space="preserve">Tabla 1. </w:t>
        </w:r>
        <w:r w:rsidR="00F27DFF" w:rsidRPr="008F0D5B">
          <w:rPr>
            <w:rStyle w:val="Hipervnculo"/>
            <w:rFonts w:cstheme="minorHAnsi"/>
            <w:noProof/>
          </w:rPr>
          <w:t>Distribución de las empresas expandidas por su factor de expansión, por actividad económica y según tamaño (2021).</w:t>
        </w:r>
        <w:r w:rsidR="00F27DFF">
          <w:rPr>
            <w:noProof/>
            <w:webHidden/>
          </w:rPr>
          <w:tab/>
        </w:r>
        <w:r w:rsidR="00F27DFF">
          <w:rPr>
            <w:noProof/>
            <w:webHidden/>
          </w:rPr>
          <w:fldChar w:fldCharType="begin"/>
        </w:r>
        <w:r w:rsidR="00F27DFF">
          <w:rPr>
            <w:noProof/>
            <w:webHidden/>
          </w:rPr>
          <w:instrText xml:space="preserve"> PAGEREF _Toc132722366 \h </w:instrText>
        </w:r>
        <w:r w:rsidR="00F27DFF">
          <w:rPr>
            <w:noProof/>
            <w:webHidden/>
          </w:rPr>
        </w:r>
        <w:r w:rsidR="00F27DFF">
          <w:rPr>
            <w:noProof/>
            <w:webHidden/>
          </w:rPr>
          <w:fldChar w:fldCharType="separate"/>
        </w:r>
        <w:r w:rsidR="00F27DFF">
          <w:rPr>
            <w:noProof/>
            <w:webHidden/>
          </w:rPr>
          <w:t>9</w:t>
        </w:r>
        <w:r w:rsidR="00F27DFF">
          <w:rPr>
            <w:noProof/>
            <w:webHidden/>
          </w:rPr>
          <w:fldChar w:fldCharType="end"/>
        </w:r>
      </w:hyperlink>
    </w:p>
    <w:p w14:paraId="3D82EB2D" w14:textId="26E77D46" w:rsidR="00F27DFF" w:rsidRDefault="000F5FC7">
      <w:pPr>
        <w:pStyle w:val="Tabladeilustraciones"/>
        <w:tabs>
          <w:tab w:val="right" w:leader="dot" w:pos="8488"/>
        </w:tabs>
        <w:rPr>
          <w:rFonts w:asciiTheme="minorHAnsi" w:eastAsiaTheme="minorEastAsia" w:hAnsiTheme="minorHAnsi" w:cstheme="minorBidi"/>
          <w:noProof/>
          <w:lang w:val="es-EC" w:eastAsia="es-EC" w:bidi="ar-SA"/>
        </w:rPr>
      </w:pPr>
      <w:hyperlink w:anchor="_Toc132722367" w:history="1">
        <w:r w:rsidR="00F27DFF" w:rsidRPr="008F0D5B">
          <w:rPr>
            <w:rStyle w:val="Hipervnculo"/>
            <w:b/>
            <w:bCs/>
            <w:noProof/>
          </w:rPr>
          <w:t>Tabla 2.</w:t>
        </w:r>
        <w:r w:rsidR="00F27DFF" w:rsidRPr="008F0D5B">
          <w:rPr>
            <w:rStyle w:val="Hipervnculo"/>
            <w:noProof/>
          </w:rPr>
          <w:t xml:space="preserve"> </w:t>
        </w:r>
        <w:r w:rsidR="00F27DFF" w:rsidRPr="008F0D5B">
          <w:rPr>
            <w:rStyle w:val="Hipervnculo"/>
            <w:rFonts w:cstheme="minorHAnsi"/>
            <w:noProof/>
          </w:rPr>
          <w:t>Impacto ambiental agregado mediano (Escala 1-100) por actividad económica (2021).</w:t>
        </w:r>
        <w:r w:rsidR="00F27DFF">
          <w:rPr>
            <w:noProof/>
            <w:webHidden/>
          </w:rPr>
          <w:tab/>
        </w:r>
        <w:r w:rsidR="00F27DFF">
          <w:rPr>
            <w:noProof/>
            <w:webHidden/>
          </w:rPr>
          <w:fldChar w:fldCharType="begin"/>
        </w:r>
        <w:r w:rsidR="00F27DFF">
          <w:rPr>
            <w:noProof/>
            <w:webHidden/>
          </w:rPr>
          <w:instrText xml:space="preserve"> PAGEREF _Toc132722367 \h </w:instrText>
        </w:r>
        <w:r w:rsidR="00F27DFF">
          <w:rPr>
            <w:noProof/>
            <w:webHidden/>
          </w:rPr>
        </w:r>
        <w:r w:rsidR="00F27DFF">
          <w:rPr>
            <w:noProof/>
            <w:webHidden/>
          </w:rPr>
          <w:fldChar w:fldCharType="separate"/>
        </w:r>
        <w:r w:rsidR="00F27DFF">
          <w:rPr>
            <w:noProof/>
            <w:webHidden/>
          </w:rPr>
          <w:t>11</w:t>
        </w:r>
        <w:r w:rsidR="00F27DFF">
          <w:rPr>
            <w:noProof/>
            <w:webHidden/>
          </w:rPr>
          <w:fldChar w:fldCharType="end"/>
        </w:r>
      </w:hyperlink>
    </w:p>
    <w:p w14:paraId="6284E8CC" w14:textId="28B7BBC6" w:rsidR="00F27DFF" w:rsidRDefault="000F5FC7">
      <w:pPr>
        <w:pStyle w:val="Tabladeilustraciones"/>
        <w:tabs>
          <w:tab w:val="right" w:leader="dot" w:pos="8488"/>
        </w:tabs>
        <w:rPr>
          <w:rFonts w:asciiTheme="minorHAnsi" w:eastAsiaTheme="minorEastAsia" w:hAnsiTheme="minorHAnsi" w:cstheme="minorBidi"/>
          <w:noProof/>
          <w:lang w:val="es-EC" w:eastAsia="es-EC" w:bidi="ar-SA"/>
        </w:rPr>
      </w:pPr>
      <w:hyperlink w:anchor="_Toc132722368" w:history="1">
        <w:r w:rsidR="00F27DFF" w:rsidRPr="008F0D5B">
          <w:rPr>
            <w:rStyle w:val="Hipervnculo"/>
            <w:b/>
            <w:bCs/>
            <w:noProof/>
          </w:rPr>
          <w:t>Tabla 3.</w:t>
        </w:r>
        <w:r w:rsidR="00F27DFF" w:rsidRPr="008F0D5B">
          <w:rPr>
            <w:rStyle w:val="Hipervnculo"/>
            <w:rFonts w:cstheme="minorHAnsi"/>
            <w:noProof/>
            <w:lang w:val="es-EC"/>
          </w:rPr>
          <w:t xml:space="preserve"> Empresas que generaron desechos especiales, por tipo de desecho (2020-2021).</w:t>
        </w:r>
        <w:r w:rsidR="00F27DFF">
          <w:rPr>
            <w:noProof/>
            <w:webHidden/>
          </w:rPr>
          <w:tab/>
        </w:r>
        <w:r w:rsidR="00F27DFF">
          <w:rPr>
            <w:noProof/>
            <w:webHidden/>
          </w:rPr>
          <w:fldChar w:fldCharType="begin"/>
        </w:r>
        <w:r w:rsidR="00F27DFF">
          <w:rPr>
            <w:noProof/>
            <w:webHidden/>
          </w:rPr>
          <w:instrText xml:space="preserve"> PAGEREF _Toc132722368 \h </w:instrText>
        </w:r>
        <w:r w:rsidR="00F27DFF">
          <w:rPr>
            <w:noProof/>
            <w:webHidden/>
          </w:rPr>
        </w:r>
        <w:r w:rsidR="00F27DFF">
          <w:rPr>
            <w:noProof/>
            <w:webHidden/>
          </w:rPr>
          <w:fldChar w:fldCharType="separate"/>
        </w:r>
        <w:r w:rsidR="00F27DFF">
          <w:rPr>
            <w:noProof/>
            <w:webHidden/>
          </w:rPr>
          <w:t>21</w:t>
        </w:r>
        <w:r w:rsidR="00F27DFF">
          <w:rPr>
            <w:noProof/>
            <w:webHidden/>
          </w:rPr>
          <w:fldChar w:fldCharType="end"/>
        </w:r>
      </w:hyperlink>
    </w:p>
    <w:p w14:paraId="1FE3D6F1" w14:textId="0FAF527C" w:rsidR="00F27DFF" w:rsidRDefault="000F5FC7">
      <w:pPr>
        <w:pStyle w:val="Tabladeilustraciones"/>
        <w:tabs>
          <w:tab w:val="right" w:leader="dot" w:pos="8488"/>
        </w:tabs>
        <w:rPr>
          <w:rFonts w:asciiTheme="minorHAnsi" w:eastAsiaTheme="minorEastAsia" w:hAnsiTheme="minorHAnsi" w:cstheme="minorBidi"/>
          <w:noProof/>
          <w:lang w:val="es-EC" w:eastAsia="es-EC" w:bidi="ar-SA"/>
        </w:rPr>
      </w:pPr>
      <w:hyperlink w:anchor="_Toc132722369" w:history="1">
        <w:r w:rsidR="00F27DFF" w:rsidRPr="008F0D5B">
          <w:rPr>
            <w:rStyle w:val="Hipervnculo"/>
            <w:b/>
            <w:bCs/>
            <w:noProof/>
          </w:rPr>
          <w:t>Tabla 4.</w:t>
        </w:r>
        <w:r w:rsidR="00F27DFF" w:rsidRPr="008F0D5B">
          <w:rPr>
            <w:rStyle w:val="Hipervnculo"/>
            <w:noProof/>
          </w:rPr>
          <w:t xml:space="preserve"> </w:t>
        </w:r>
        <w:r w:rsidR="00F27DFF" w:rsidRPr="008F0D5B">
          <w:rPr>
            <w:rStyle w:val="Hipervnculo"/>
            <w:rFonts w:cstheme="minorHAnsi"/>
            <w:noProof/>
            <w:lang w:val="es-EC"/>
          </w:rPr>
          <w:t>Empresas que generaron desechos peligrosos, por tipo de desecho peligroso (2021).</w:t>
        </w:r>
        <w:r w:rsidR="00F27DFF">
          <w:rPr>
            <w:noProof/>
            <w:webHidden/>
          </w:rPr>
          <w:tab/>
        </w:r>
        <w:r w:rsidR="00F27DFF">
          <w:rPr>
            <w:noProof/>
            <w:webHidden/>
          </w:rPr>
          <w:fldChar w:fldCharType="begin"/>
        </w:r>
        <w:r w:rsidR="00F27DFF">
          <w:rPr>
            <w:noProof/>
            <w:webHidden/>
          </w:rPr>
          <w:instrText xml:space="preserve"> PAGEREF _Toc132722369 \h </w:instrText>
        </w:r>
        <w:r w:rsidR="00F27DFF">
          <w:rPr>
            <w:noProof/>
            <w:webHidden/>
          </w:rPr>
        </w:r>
        <w:r w:rsidR="00F27DFF">
          <w:rPr>
            <w:noProof/>
            <w:webHidden/>
          </w:rPr>
          <w:fldChar w:fldCharType="separate"/>
        </w:r>
        <w:r w:rsidR="00F27DFF">
          <w:rPr>
            <w:noProof/>
            <w:webHidden/>
          </w:rPr>
          <w:t>22</w:t>
        </w:r>
        <w:r w:rsidR="00F27DFF">
          <w:rPr>
            <w:noProof/>
            <w:webHidden/>
          </w:rPr>
          <w:fldChar w:fldCharType="end"/>
        </w:r>
      </w:hyperlink>
    </w:p>
    <w:p w14:paraId="5747684F" w14:textId="02B9A68F" w:rsidR="00870600" w:rsidRDefault="00826E44" w:rsidP="00826E44">
      <w:pPr>
        <w:rPr>
          <w:rFonts w:eastAsiaTheme="majorEastAsia" w:cstheme="majorBidi"/>
          <w:b/>
          <w:bCs/>
          <w:color w:val="2F5496" w:themeColor="accent1" w:themeShade="BF"/>
          <w:sz w:val="28"/>
          <w:szCs w:val="28"/>
        </w:rPr>
        <w:sectPr w:rsidR="00870600" w:rsidSect="00870600">
          <w:headerReference w:type="default" r:id="rId9"/>
          <w:footerReference w:type="even" r:id="rId10"/>
          <w:footerReference w:type="default" r:id="rId11"/>
          <w:pgSz w:w="11900" w:h="16840"/>
          <w:pgMar w:top="1417" w:right="1701" w:bottom="1417" w:left="1701" w:header="708" w:footer="708" w:gutter="0"/>
          <w:cols w:space="708"/>
          <w:titlePg/>
          <w:docGrid w:linePitch="360"/>
        </w:sectPr>
      </w:pPr>
      <w:r>
        <w:rPr>
          <w:rFonts w:eastAsiaTheme="majorEastAsia" w:cstheme="majorBidi"/>
          <w:b/>
          <w:bCs/>
          <w:color w:val="2F5496" w:themeColor="accent1" w:themeShade="BF"/>
          <w:sz w:val="28"/>
          <w:szCs w:val="28"/>
        </w:rPr>
        <w:fldChar w:fldCharType="end"/>
      </w:r>
    </w:p>
    <w:p w14:paraId="7C600F38" w14:textId="6845C299" w:rsidR="00826E44" w:rsidRDefault="00826E44" w:rsidP="00826E44">
      <w:pPr>
        <w:rPr>
          <w:rFonts w:ascii="Century Gothic" w:hAnsi="Century Gothic"/>
          <w:color w:val="000000"/>
          <w:sz w:val="20"/>
          <w:szCs w:val="20"/>
          <w:lang w:val="es-PR"/>
        </w:rPr>
      </w:pPr>
      <w:r>
        <w:rPr>
          <w:rFonts w:ascii="Century Gothic" w:hAnsi="Century Gothic"/>
          <w:color w:val="000000"/>
          <w:sz w:val="20"/>
          <w:szCs w:val="20"/>
          <w:lang w:val="es-PR"/>
        </w:rPr>
        <w:br w:type="page"/>
      </w:r>
    </w:p>
    <w:p w14:paraId="2DC0FE3A" w14:textId="77777777" w:rsidR="00826E44" w:rsidRPr="000D670F" w:rsidRDefault="00826E44" w:rsidP="00826E44">
      <w:pPr>
        <w:pStyle w:val="Ttulo1"/>
        <w:rPr>
          <w:rFonts w:ascii="Century Gothic" w:eastAsiaTheme="minorHAnsi" w:hAnsi="Century Gothic" w:cstheme="minorBidi"/>
          <w:color w:val="646482"/>
          <w:lang w:val="es-EC" w:eastAsia="en-US" w:bidi="ar-SA"/>
        </w:rPr>
      </w:pPr>
      <w:bookmarkStart w:id="0" w:name="_Toc132722337"/>
      <w:r w:rsidRPr="000D670F">
        <w:rPr>
          <w:rFonts w:ascii="Century Gothic" w:eastAsiaTheme="minorHAnsi" w:hAnsi="Century Gothic" w:cstheme="minorBidi"/>
          <w:color w:val="646482"/>
          <w:lang w:val="es-EC" w:eastAsia="en-US" w:bidi="ar-SA"/>
        </w:rPr>
        <w:lastRenderedPageBreak/>
        <w:t>Resumen</w:t>
      </w:r>
      <w:bookmarkEnd w:id="0"/>
    </w:p>
    <w:p w14:paraId="5FE5BF86" w14:textId="77777777" w:rsidR="00826E44" w:rsidRDefault="00826E44" w:rsidP="00826E44">
      <w:pPr>
        <w:jc w:val="both"/>
        <w:rPr>
          <w:rFonts w:ascii="Century Gothic" w:hAnsi="Century Gothic"/>
          <w:color w:val="000000"/>
          <w:sz w:val="20"/>
          <w:szCs w:val="20"/>
          <w:lang w:val="es-PR"/>
        </w:rPr>
      </w:pPr>
    </w:p>
    <w:p w14:paraId="0BF16A53" w14:textId="484F2C25" w:rsidR="00826E44" w:rsidRPr="007B1E22" w:rsidRDefault="00826E44" w:rsidP="00826E44">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 xml:space="preserve">El Módulo Ambiental </w:t>
      </w:r>
      <w:r w:rsidR="00EE29C2">
        <w:rPr>
          <w:rFonts w:ascii="Century Gothic" w:hAnsi="Century Gothic"/>
          <w:color w:val="000000"/>
          <w:sz w:val="21"/>
          <w:szCs w:val="21"/>
          <w:lang w:val="es-PR"/>
        </w:rPr>
        <w:t>Económic</w:t>
      </w:r>
      <w:r w:rsidR="00C75F68">
        <w:rPr>
          <w:rFonts w:ascii="Century Gothic" w:hAnsi="Century Gothic"/>
          <w:color w:val="000000"/>
          <w:sz w:val="21"/>
          <w:szCs w:val="21"/>
          <w:lang w:val="es-PR"/>
        </w:rPr>
        <w:t>o</w:t>
      </w:r>
      <w:r w:rsidR="00BD1742">
        <w:rPr>
          <w:rFonts w:ascii="Century Gothic" w:hAnsi="Century Gothic"/>
          <w:color w:val="000000"/>
          <w:sz w:val="21"/>
          <w:szCs w:val="21"/>
          <w:lang w:val="es-PR"/>
        </w:rPr>
        <w:t xml:space="preserve"> </w:t>
      </w:r>
      <w:r w:rsidRPr="007B1E22">
        <w:rPr>
          <w:rFonts w:ascii="Century Gothic" w:hAnsi="Century Gothic"/>
          <w:color w:val="000000"/>
          <w:sz w:val="21"/>
          <w:szCs w:val="21"/>
          <w:lang w:val="es-PR"/>
        </w:rPr>
        <w:t>de la Encuesta Estructural Empresarial 20</w:t>
      </w:r>
      <w:r w:rsidR="00032EFD">
        <w:rPr>
          <w:rFonts w:ascii="Century Gothic" w:hAnsi="Century Gothic"/>
          <w:color w:val="000000"/>
          <w:sz w:val="21"/>
          <w:szCs w:val="21"/>
          <w:lang w:val="es-PR"/>
        </w:rPr>
        <w:t>2</w:t>
      </w:r>
      <w:r w:rsidR="00C75F68">
        <w:rPr>
          <w:rFonts w:ascii="Century Gothic" w:hAnsi="Century Gothic"/>
          <w:color w:val="000000"/>
          <w:sz w:val="21"/>
          <w:szCs w:val="21"/>
          <w:lang w:val="es-PR"/>
        </w:rPr>
        <w:t>1</w:t>
      </w:r>
      <w:r w:rsidRPr="007B1E22">
        <w:rPr>
          <w:rFonts w:ascii="Century Gothic" w:hAnsi="Century Gothic"/>
          <w:color w:val="000000"/>
          <w:sz w:val="21"/>
          <w:szCs w:val="21"/>
          <w:lang w:val="es-PR"/>
        </w:rPr>
        <w:t xml:space="preserve"> responde a la demanda de conocimiento de la dinámica económico-ambiental de las empresas ecuatorianas, cumpliendo así con su objetivo de proporcionar información precisa y fiable de las principales características ambientales y económicas de las empresas.</w:t>
      </w:r>
    </w:p>
    <w:p w14:paraId="4788A22E" w14:textId="77777777" w:rsidR="00826E44" w:rsidRPr="007B1E22" w:rsidRDefault="00826E44" w:rsidP="00826E44">
      <w:pPr>
        <w:jc w:val="both"/>
        <w:rPr>
          <w:rFonts w:ascii="Century Gothic" w:hAnsi="Century Gothic"/>
          <w:color w:val="000000"/>
          <w:sz w:val="21"/>
          <w:szCs w:val="21"/>
          <w:lang w:val="es-PR"/>
        </w:rPr>
      </w:pPr>
    </w:p>
    <w:p w14:paraId="5FC2A91C" w14:textId="77777777" w:rsidR="00826E44" w:rsidRPr="007B1E22" w:rsidRDefault="00826E44" w:rsidP="00826E44">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El diseño de la operación estadística se basa en un sólido marco conceptual y metodológico de las Naciones Unidas, denominado “</w:t>
      </w:r>
      <w:r w:rsidRPr="007B1E22">
        <w:rPr>
          <w:rFonts w:ascii="Century Gothic" w:hAnsi="Century Gothic"/>
          <w:b/>
          <w:color w:val="538135" w:themeColor="accent6" w:themeShade="BF"/>
          <w:sz w:val="21"/>
          <w:szCs w:val="21"/>
          <w:lang w:val="es-PR"/>
        </w:rPr>
        <w:t>Economía Verde</w:t>
      </w:r>
      <w:r w:rsidRPr="007B1E22">
        <w:rPr>
          <w:rFonts w:ascii="Century Gothic" w:hAnsi="Century Gothic"/>
          <w:color w:val="000000"/>
          <w:sz w:val="21"/>
          <w:szCs w:val="21"/>
          <w:lang w:val="es-PR"/>
        </w:rPr>
        <w:t>”, con el cual se apoya a la meta de crear un sistema productivo mundial más eficiente y responsable con el ambiente.</w:t>
      </w:r>
    </w:p>
    <w:p w14:paraId="49DE6E50" w14:textId="77777777" w:rsidR="00826E44" w:rsidRPr="007B1E22" w:rsidRDefault="00826E44" w:rsidP="00826E44">
      <w:pPr>
        <w:jc w:val="both"/>
        <w:rPr>
          <w:rFonts w:ascii="Century Gothic" w:hAnsi="Century Gothic"/>
          <w:color w:val="000000"/>
          <w:sz w:val="21"/>
          <w:szCs w:val="21"/>
          <w:lang w:val="es-PR"/>
        </w:rPr>
      </w:pPr>
    </w:p>
    <w:p w14:paraId="753AD66A" w14:textId="77777777" w:rsidR="00826E44" w:rsidRPr="007B1E22" w:rsidRDefault="00826E44" w:rsidP="00826E44">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Dentro de este marco, se ha diseñado un Sistema de Indicadores de Producción Verde, el cual sirve para el monitoreo de la situación económica y ambiental de las empresas. La presente operación estadística se alinea con el marco “</w:t>
      </w:r>
      <w:r w:rsidRPr="007B1E22">
        <w:rPr>
          <w:rFonts w:ascii="Century Gothic" w:hAnsi="Century Gothic"/>
          <w:b/>
          <w:color w:val="538135" w:themeColor="accent6" w:themeShade="BF"/>
          <w:sz w:val="21"/>
          <w:szCs w:val="21"/>
          <w:lang w:val="es-PR"/>
        </w:rPr>
        <w:t>Economía Verde</w:t>
      </w:r>
      <w:r w:rsidRPr="007B1E22">
        <w:rPr>
          <w:rFonts w:ascii="Century Gothic" w:hAnsi="Century Gothic"/>
          <w:color w:val="000000"/>
          <w:sz w:val="21"/>
          <w:szCs w:val="21"/>
          <w:lang w:val="es-PR"/>
        </w:rPr>
        <w:t>” y con el Sistema de Indicadores de Producción Verde, de manera que sus resultados sean útiles y comparables a nivel internacional.</w:t>
      </w:r>
    </w:p>
    <w:p w14:paraId="6D409B2A" w14:textId="77777777" w:rsidR="00826E44" w:rsidRPr="007B1E22" w:rsidRDefault="00826E44" w:rsidP="00826E44">
      <w:pPr>
        <w:jc w:val="both"/>
        <w:rPr>
          <w:rFonts w:ascii="Century Gothic" w:hAnsi="Century Gothic"/>
          <w:color w:val="000000"/>
          <w:sz w:val="21"/>
          <w:szCs w:val="21"/>
          <w:lang w:val="es-PR"/>
        </w:rPr>
      </w:pPr>
    </w:p>
    <w:p w14:paraId="628D816F" w14:textId="48B0B1C7" w:rsidR="00826E44" w:rsidRDefault="00826E44" w:rsidP="00826E44">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 xml:space="preserve">Entre los principales resultados se tiene que las actividades económicas de mayor impacto ambiental son: </w:t>
      </w:r>
      <w:r w:rsidR="00C75F68">
        <w:rPr>
          <w:rFonts w:ascii="Century Gothic" w:hAnsi="Century Gothic"/>
          <w:i/>
          <w:color w:val="000000"/>
          <w:sz w:val="21"/>
          <w:szCs w:val="21"/>
          <w:lang w:val="es-PR"/>
        </w:rPr>
        <w:t xml:space="preserve">Explotación </w:t>
      </w:r>
      <w:r w:rsidRPr="00ED5733">
        <w:rPr>
          <w:rFonts w:ascii="Century Gothic" w:hAnsi="Century Gothic"/>
          <w:i/>
          <w:color w:val="000000"/>
          <w:sz w:val="21"/>
          <w:szCs w:val="21"/>
          <w:lang w:val="es-PR"/>
        </w:rPr>
        <w:t>d</w:t>
      </w:r>
      <w:r w:rsidR="00C75F68">
        <w:rPr>
          <w:rFonts w:ascii="Century Gothic" w:hAnsi="Century Gothic"/>
          <w:i/>
          <w:color w:val="000000"/>
          <w:sz w:val="21"/>
          <w:szCs w:val="21"/>
          <w:lang w:val="es-PR"/>
        </w:rPr>
        <w:t>e minas y canteras</w:t>
      </w:r>
      <w:r w:rsidRPr="00ED5733">
        <w:rPr>
          <w:rFonts w:ascii="Century Gothic" w:hAnsi="Century Gothic"/>
          <w:color w:val="000000"/>
          <w:sz w:val="21"/>
          <w:szCs w:val="21"/>
          <w:lang w:val="es-PR"/>
        </w:rPr>
        <w:t xml:space="preserve"> (</w:t>
      </w:r>
      <w:r w:rsidR="00C75F68">
        <w:rPr>
          <w:rFonts w:ascii="Century Gothic" w:hAnsi="Century Gothic"/>
          <w:color w:val="000000"/>
          <w:sz w:val="21"/>
          <w:szCs w:val="21"/>
          <w:lang w:val="es-PR"/>
        </w:rPr>
        <w:t>IA = 80</w:t>
      </w:r>
      <w:r w:rsidRPr="00ED5733">
        <w:rPr>
          <w:rFonts w:ascii="Century Gothic" w:hAnsi="Century Gothic"/>
          <w:color w:val="000000"/>
          <w:sz w:val="21"/>
          <w:szCs w:val="21"/>
          <w:lang w:val="es-PR"/>
        </w:rPr>
        <w:t>)</w:t>
      </w:r>
      <w:r w:rsidR="00C75F68">
        <w:rPr>
          <w:rFonts w:ascii="Century Gothic" w:hAnsi="Century Gothic"/>
          <w:color w:val="000000"/>
          <w:sz w:val="21"/>
          <w:szCs w:val="21"/>
          <w:lang w:val="es-PR"/>
        </w:rPr>
        <w:t xml:space="preserve">; </w:t>
      </w:r>
      <w:r w:rsidR="00C75F68" w:rsidRPr="00ED5733">
        <w:rPr>
          <w:rFonts w:ascii="Century Gothic" w:hAnsi="Century Gothic"/>
          <w:i/>
          <w:color w:val="000000"/>
          <w:sz w:val="21"/>
          <w:szCs w:val="21"/>
          <w:lang w:val="es-PR"/>
        </w:rPr>
        <w:t>Distribución de agua, alcantarillado, gestión de desechos y saneamiento</w:t>
      </w:r>
      <w:r w:rsidR="00C75F68" w:rsidRPr="00ED5733">
        <w:rPr>
          <w:rFonts w:ascii="Century Gothic" w:hAnsi="Century Gothic"/>
          <w:color w:val="000000"/>
          <w:sz w:val="21"/>
          <w:szCs w:val="21"/>
          <w:lang w:val="es-PR"/>
        </w:rPr>
        <w:t xml:space="preserve"> (</w:t>
      </w:r>
      <w:r w:rsidR="00C75F68">
        <w:rPr>
          <w:rFonts w:ascii="Century Gothic" w:hAnsi="Century Gothic"/>
          <w:color w:val="000000"/>
          <w:sz w:val="21"/>
          <w:szCs w:val="21"/>
          <w:lang w:val="es-PR"/>
        </w:rPr>
        <w:t>IA = 78</w:t>
      </w:r>
      <w:r w:rsidR="00C75F68" w:rsidRPr="00ED5733">
        <w:rPr>
          <w:rFonts w:ascii="Century Gothic" w:hAnsi="Century Gothic"/>
          <w:color w:val="000000"/>
          <w:sz w:val="21"/>
          <w:szCs w:val="21"/>
          <w:lang w:val="es-PR"/>
        </w:rPr>
        <w:t>)</w:t>
      </w:r>
      <w:r w:rsidR="00C75F68">
        <w:rPr>
          <w:rFonts w:ascii="Century Gothic" w:hAnsi="Century Gothic"/>
          <w:color w:val="000000"/>
          <w:sz w:val="21"/>
          <w:szCs w:val="21"/>
          <w:lang w:val="es-PR"/>
        </w:rPr>
        <w:t xml:space="preserve">; </w:t>
      </w:r>
      <w:r w:rsidR="00C75F68" w:rsidRPr="00C75F68">
        <w:rPr>
          <w:rFonts w:ascii="Century Gothic" w:hAnsi="Century Gothic"/>
          <w:i/>
          <w:iCs/>
          <w:color w:val="000000"/>
          <w:sz w:val="21"/>
          <w:szCs w:val="21"/>
          <w:lang w:val="es-PR"/>
        </w:rPr>
        <w:t>Actividades de atención a la salud humana</w:t>
      </w:r>
      <w:r w:rsidR="00C75F68">
        <w:rPr>
          <w:rFonts w:ascii="Century Gothic" w:hAnsi="Century Gothic"/>
          <w:color w:val="000000"/>
          <w:sz w:val="21"/>
          <w:szCs w:val="21"/>
          <w:lang w:val="es-PR"/>
        </w:rPr>
        <w:t xml:space="preserve"> (IA = 76.5); </w:t>
      </w:r>
      <w:r w:rsidR="00C75F68" w:rsidRPr="00C75F68">
        <w:rPr>
          <w:rFonts w:ascii="Century Gothic" w:hAnsi="Century Gothic"/>
          <w:i/>
          <w:iCs/>
          <w:color w:val="000000"/>
          <w:sz w:val="21"/>
          <w:szCs w:val="21"/>
          <w:lang w:val="es-PR"/>
        </w:rPr>
        <w:t>Actividades de alojamiento y de comidas</w:t>
      </w:r>
      <w:r w:rsidR="00C75F68">
        <w:rPr>
          <w:rFonts w:ascii="Century Gothic" w:hAnsi="Century Gothic"/>
          <w:color w:val="000000"/>
          <w:sz w:val="21"/>
          <w:szCs w:val="21"/>
          <w:lang w:val="es-PR"/>
        </w:rPr>
        <w:t xml:space="preserve"> (IA = 75); e</w:t>
      </w:r>
      <w:r w:rsidRPr="00ED5733">
        <w:rPr>
          <w:rFonts w:ascii="Century Gothic" w:hAnsi="Century Gothic"/>
          <w:color w:val="000000"/>
          <w:sz w:val="21"/>
          <w:szCs w:val="21"/>
          <w:lang w:val="es-PR"/>
        </w:rPr>
        <w:t xml:space="preserve"> </w:t>
      </w:r>
      <w:r w:rsidR="00C43190" w:rsidRPr="00ED5733">
        <w:rPr>
          <w:rFonts w:ascii="Century Gothic" w:hAnsi="Century Gothic"/>
          <w:i/>
          <w:color w:val="000000"/>
          <w:sz w:val="21"/>
          <w:szCs w:val="21"/>
          <w:lang w:val="es-PR"/>
        </w:rPr>
        <w:t>Industria manufacturera</w:t>
      </w:r>
      <w:r w:rsidR="00EE29C2">
        <w:rPr>
          <w:rFonts w:ascii="Century Gothic" w:hAnsi="Century Gothic"/>
          <w:color w:val="000000"/>
          <w:sz w:val="21"/>
          <w:szCs w:val="21"/>
          <w:lang w:val="es-PR"/>
        </w:rPr>
        <w:t xml:space="preserve"> (</w:t>
      </w:r>
      <w:r w:rsidR="00C75F68">
        <w:rPr>
          <w:rFonts w:ascii="Century Gothic" w:hAnsi="Century Gothic"/>
          <w:color w:val="000000"/>
          <w:sz w:val="21"/>
          <w:szCs w:val="21"/>
          <w:lang w:val="es-PR"/>
        </w:rPr>
        <w:t>IA = 71</w:t>
      </w:r>
      <w:r w:rsidRPr="00ED5733">
        <w:rPr>
          <w:rFonts w:ascii="Century Gothic" w:hAnsi="Century Gothic"/>
          <w:color w:val="000000"/>
          <w:sz w:val="21"/>
          <w:szCs w:val="21"/>
          <w:lang w:val="es-PR"/>
        </w:rPr>
        <w:t>)</w:t>
      </w:r>
      <w:r w:rsidR="00C75F68">
        <w:rPr>
          <w:rFonts w:ascii="Century Gothic" w:hAnsi="Century Gothic"/>
          <w:color w:val="000000"/>
          <w:sz w:val="21"/>
          <w:szCs w:val="21"/>
          <w:lang w:val="es-PR"/>
        </w:rPr>
        <w:t>.</w:t>
      </w:r>
    </w:p>
    <w:p w14:paraId="3DA0F7A2" w14:textId="6348E19C" w:rsidR="000772BB" w:rsidRDefault="000772BB" w:rsidP="00826E44">
      <w:pPr>
        <w:jc w:val="both"/>
        <w:rPr>
          <w:rFonts w:ascii="Century Gothic" w:hAnsi="Century Gothic"/>
          <w:color w:val="000000"/>
          <w:sz w:val="21"/>
          <w:szCs w:val="21"/>
          <w:lang w:val="es-PR"/>
        </w:rPr>
      </w:pPr>
    </w:p>
    <w:p w14:paraId="7E03FCC1" w14:textId="744219C8" w:rsidR="000772BB" w:rsidRPr="007B1E22" w:rsidRDefault="000772BB" w:rsidP="00826E44">
      <w:pPr>
        <w:jc w:val="both"/>
        <w:rPr>
          <w:rFonts w:ascii="Century Gothic" w:hAnsi="Century Gothic"/>
          <w:color w:val="000000"/>
          <w:sz w:val="21"/>
          <w:szCs w:val="21"/>
          <w:lang w:val="es-PR"/>
        </w:rPr>
      </w:pPr>
      <w:r>
        <w:rPr>
          <w:rFonts w:ascii="Century Gothic" w:hAnsi="Century Gothic"/>
          <w:color w:val="000000"/>
          <w:sz w:val="21"/>
          <w:szCs w:val="21"/>
          <w:lang w:val="es-PR"/>
        </w:rPr>
        <w:t xml:space="preserve">Las actividades económicas de menor impacto ambiental son: </w:t>
      </w:r>
      <w:r w:rsidRPr="000772BB">
        <w:rPr>
          <w:rFonts w:ascii="Century Gothic" w:hAnsi="Century Gothic"/>
          <w:i/>
          <w:iCs/>
          <w:color w:val="000000"/>
          <w:sz w:val="21"/>
          <w:szCs w:val="21"/>
          <w:lang w:val="es-PR"/>
        </w:rPr>
        <w:t>Artes, entretenimiento y recreación</w:t>
      </w:r>
      <w:r>
        <w:rPr>
          <w:rFonts w:ascii="Century Gothic" w:hAnsi="Century Gothic"/>
          <w:color w:val="000000"/>
          <w:sz w:val="21"/>
          <w:szCs w:val="21"/>
          <w:lang w:val="es-PR"/>
        </w:rPr>
        <w:t xml:space="preserve"> (IA = 40); </w:t>
      </w:r>
      <w:r w:rsidRPr="000772BB">
        <w:rPr>
          <w:rFonts w:ascii="Century Gothic" w:hAnsi="Century Gothic"/>
          <w:i/>
          <w:iCs/>
          <w:color w:val="000000"/>
          <w:sz w:val="21"/>
          <w:szCs w:val="21"/>
          <w:lang w:val="es-PR"/>
        </w:rPr>
        <w:t>Información y Comunicación</w:t>
      </w:r>
      <w:r>
        <w:rPr>
          <w:rFonts w:ascii="Century Gothic" w:hAnsi="Century Gothic"/>
          <w:color w:val="000000"/>
          <w:sz w:val="21"/>
          <w:szCs w:val="21"/>
          <w:lang w:val="es-PR"/>
        </w:rPr>
        <w:t xml:space="preserve"> (IA = 37.5); </w:t>
      </w:r>
      <w:r w:rsidRPr="000772BB">
        <w:rPr>
          <w:rFonts w:ascii="Century Gothic" w:hAnsi="Century Gothic"/>
          <w:i/>
          <w:iCs/>
          <w:color w:val="000000"/>
          <w:sz w:val="21"/>
          <w:szCs w:val="21"/>
          <w:lang w:val="es-PR"/>
        </w:rPr>
        <w:t>Comercio al por mayor y menor</w:t>
      </w:r>
      <w:r>
        <w:rPr>
          <w:rFonts w:ascii="Century Gothic" w:hAnsi="Century Gothic"/>
          <w:color w:val="000000"/>
          <w:sz w:val="21"/>
          <w:szCs w:val="21"/>
          <w:lang w:val="es-PR"/>
        </w:rPr>
        <w:t xml:space="preserve"> (IA = 33) y </w:t>
      </w:r>
      <w:r w:rsidRPr="000772BB">
        <w:rPr>
          <w:rFonts w:ascii="Century Gothic" w:hAnsi="Century Gothic"/>
          <w:i/>
          <w:iCs/>
          <w:color w:val="000000"/>
          <w:sz w:val="21"/>
          <w:szCs w:val="21"/>
          <w:lang w:val="es-PR"/>
        </w:rPr>
        <w:t>Actividades financieras y de seguros</w:t>
      </w:r>
      <w:r>
        <w:rPr>
          <w:rFonts w:ascii="Century Gothic" w:hAnsi="Century Gothic"/>
          <w:color w:val="000000"/>
          <w:sz w:val="21"/>
          <w:szCs w:val="21"/>
          <w:lang w:val="es-PR"/>
        </w:rPr>
        <w:t xml:space="preserve"> (IA = 23.5).</w:t>
      </w:r>
    </w:p>
    <w:p w14:paraId="69AB5DCE" w14:textId="77777777" w:rsidR="00826E44" w:rsidRPr="007B1E22" w:rsidRDefault="00826E44" w:rsidP="00826E44">
      <w:pPr>
        <w:jc w:val="both"/>
        <w:rPr>
          <w:rFonts w:ascii="Century Gothic" w:hAnsi="Century Gothic"/>
          <w:color w:val="000000"/>
          <w:sz w:val="21"/>
          <w:szCs w:val="21"/>
          <w:lang w:val="es-PR"/>
        </w:rPr>
      </w:pPr>
    </w:p>
    <w:p w14:paraId="6E3AA9E9" w14:textId="5A45DD19" w:rsidR="00826E44" w:rsidRPr="007B1E22" w:rsidRDefault="00826E44" w:rsidP="00826E44">
      <w:pPr>
        <w:jc w:val="both"/>
        <w:rPr>
          <w:rFonts w:ascii="Century Gothic" w:hAnsi="Century Gothic"/>
          <w:color w:val="000000"/>
          <w:sz w:val="21"/>
          <w:szCs w:val="21"/>
          <w:lang w:val="es-PR"/>
        </w:rPr>
      </w:pPr>
      <w:r w:rsidRPr="00D117E9">
        <w:rPr>
          <w:rFonts w:ascii="Century Gothic" w:hAnsi="Century Gothic"/>
          <w:color w:val="000000"/>
          <w:sz w:val="21"/>
          <w:szCs w:val="21"/>
          <w:lang w:val="es-PR"/>
        </w:rPr>
        <w:t xml:space="preserve">En el tema energético, las empresas del país han </w:t>
      </w:r>
      <w:r w:rsidR="005621F7" w:rsidRPr="00D117E9">
        <w:rPr>
          <w:rFonts w:ascii="Century Gothic" w:hAnsi="Century Gothic"/>
          <w:color w:val="000000"/>
          <w:sz w:val="21"/>
          <w:szCs w:val="21"/>
          <w:lang w:val="es-PR"/>
        </w:rPr>
        <w:t>aumenta</w:t>
      </w:r>
      <w:r w:rsidR="00B430A4" w:rsidRPr="00D117E9">
        <w:rPr>
          <w:rFonts w:ascii="Century Gothic" w:hAnsi="Century Gothic"/>
          <w:color w:val="000000"/>
          <w:sz w:val="21"/>
          <w:szCs w:val="21"/>
          <w:lang w:val="es-PR"/>
        </w:rPr>
        <w:t>do en forma e</w:t>
      </w:r>
      <w:r w:rsidR="005621F7" w:rsidRPr="00D117E9">
        <w:rPr>
          <w:rFonts w:ascii="Century Gothic" w:hAnsi="Century Gothic"/>
          <w:color w:val="000000"/>
          <w:sz w:val="21"/>
          <w:szCs w:val="21"/>
          <w:lang w:val="es-PR"/>
        </w:rPr>
        <w:t>stadísticamente significativa</w:t>
      </w:r>
      <w:r w:rsidRPr="00D117E9">
        <w:rPr>
          <w:rFonts w:ascii="Century Gothic" w:hAnsi="Century Gothic"/>
          <w:color w:val="000000"/>
          <w:sz w:val="21"/>
          <w:szCs w:val="21"/>
          <w:lang w:val="es-PR"/>
        </w:rPr>
        <w:t xml:space="preserve"> su eficiencia energética con respecto a su producción en </w:t>
      </w:r>
      <w:r w:rsidR="00ED5733" w:rsidRPr="00D117E9">
        <w:rPr>
          <w:rFonts w:ascii="Century Gothic" w:hAnsi="Century Gothic" w:cs="Times New Roman"/>
          <w:sz w:val="21"/>
          <w:szCs w:val="21"/>
          <w:lang w:val="es-ES_tradnl" w:eastAsia="es-ES_tradnl"/>
        </w:rPr>
        <w:t>1</w:t>
      </w:r>
      <w:r w:rsidR="00B041B7" w:rsidRPr="00D117E9">
        <w:rPr>
          <w:rFonts w:ascii="Century Gothic" w:hAnsi="Century Gothic" w:cs="Times New Roman"/>
          <w:sz w:val="21"/>
          <w:szCs w:val="21"/>
          <w:lang w:val="es-ES_tradnl" w:eastAsia="es-ES_tradnl"/>
        </w:rPr>
        <w:t>2</w:t>
      </w:r>
      <w:r w:rsidR="00BD1742" w:rsidRPr="00D117E9">
        <w:rPr>
          <w:rFonts w:ascii="Century Gothic" w:hAnsi="Century Gothic" w:cs="Times New Roman"/>
          <w:sz w:val="21"/>
          <w:szCs w:val="21"/>
          <w:lang w:val="es-ES_tradnl" w:eastAsia="es-ES_tradnl"/>
        </w:rPr>
        <w:t>,</w:t>
      </w:r>
      <w:r w:rsidR="00B041B7" w:rsidRPr="00D117E9">
        <w:rPr>
          <w:rFonts w:ascii="Century Gothic" w:hAnsi="Century Gothic" w:cs="Times New Roman"/>
          <w:sz w:val="21"/>
          <w:szCs w:val="21"/>
          <w:lang w:val="es-ES_tradnl" w:eastAsia="es-ES_tradnl"/>
        </w:rPr>
        <w:t>69</w:t>
      </w:r>
      <w:r w:rsidRPr="00D117E9">
        <w:rPr>
          <w:rFonts w:ascii="Century Gothic" w:hAnsi="Century Gothic" w:cs="Times New Roman"/>
          <w:sz w:val="21"/>
          <w:szCs w:val="21"/>
          <w:lang w:val="es-ES_tradnl" w:eastAsia="es-ES_tradnl"/>
        </w:rPr>
        <w:t xml:space="preserve">%, </w:t>
      </w:r>
      <w:r w:rsidRPr="00D117E9">
        <w:rPr>
          <w:rFonts w:ascii="Century Gothic" w:hAnsi="Century Gothic"/>
          <w:color w:val="000000"/>
          <w:sz w:val="21"/>
          <w:szCs w:val="21"/>
          <w:lang w:val="es-PR"/>
        </w:rPr>
        <w:t>para el período de 201</w:t>
      </w:r>
      <w:r w:rsidR="005621F7" w:rsidRPr="00D117E9">
        <w:rPr>
          <w:rFonts w:ascii="Century Gothic" w:hAnsi="Century Gothic"/>
          <w:color w:val="000000"/>
          <w:sz w:val="21"/>
          <w:szCs w:val="21"/>
          <w:lang w:val="es-PR"/>
        </w:rPr>
        <w:t>1</w:t>
      </w:r>
      <w:r w:rsidRPr="00D117E9">
        <w:rPr>
          <w:rFonts w:ascii="Century Gothic" w:hAnsi="Century Gothic"/>
          <w:color w:val="000000"/>
          <w:sz w:val="21"/>
          <w:szCs w:val="21"/>
          <w:lang w:val="es-PR"/>
        </w:rPr>
        <w:t>-20</w:t>
      </w:r>
      <w:r w:rsidR="00F52ECC" w:rsidRPr="00D117E9">
        <w:rPr>
          <w:rFonts w:ascii="Century Gothic" w:hAnsi="Century Gothic"/>
          <w:color w:val="000000"/>
          <w:sz w:val="21"/>
          <w:szCs w:val="21"/>
          <w:lang w:val="es-PR"/>
        </w:rPr>
        <w:t>20</w:t>
      </w:r>
      <w:r w:rsidRPr="00D117E9">
        <w:rPr>
          <w:rFonts w:ascii="Century Gothic" w:hAnsi="Century Gothic"/>
          <w:color w:val="000000"/>
          <w:sz w:val="21"/>
          <w:szCs w:val="21"/>
          <w:lang w:val="es-PR"/>
        </w:rPr>
        <w:t>.</w:t>
      </w:r>
    </w:p>
    <w:p w14:paraId="5B953612" w14:textId="77777777" w:rsidR="00826E44" w:rsidRPr="007B1E22" w:rsidRDefault="00826E44" w:rsidP="00826E44">
      <w:pPr>
        <w:jc w:val="both"/>
        <w:rPr>
          <w:rFonts w:ascii="Century Gothic" w:hAnsi="Century Gothic"/>
          <w:color w:val="000000"/>
          <w:sz w:val="21"/>
          <w:szCs w:val="21"/>
          <w:lang w:val="es-PR"/>
        </w:rPr>
      </w:pPr>
    </w:p>
    <w:p w14:paraId="06483612" w14:textId="1F8B86EE" w:rsidR="00826E44" w:rsidRPr="007B1E22" w:rsidRDefault="00826E44" w:rsidP="00826E44">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 xml:space="preserve">El </w:t>
      </w:r>
      <w:r w:rsidR="00D117E9">
        <w:rPr>
          <w:rFonts w:ascii="Century Gothic" w:hAnsi="Century Gothic"/>
          <w:color w:val="000000"/>
          <w:sz w:val="21"/>
          <w:szCs w:val="21"/>
          <w:lang w:val="es-PR"/>
        </w:rPr>
        <w:t>grado</w:t>
      </w:r>
      <w:r w:rsidRPr="007B1E22">
        <w:rPr>
          <w:rFonts w:ascii="Century Gothic" w:hAnsi="Century Gothic"/>
          <w:color w:val="000000"/>
          <w:sz w:val="21"/>
          <w:szCs w:val="21"/>
          <w:lang w:val="es-PR"/>
        </w:rPr>
        <w:t xml:space="preserve"> de contaminación con gases de efecto invernadero de las empresas nacionales, con respecto al valor agregado de la producción, está en niveles muy similares a los registrados en sectores industriales de países vecinos como Colombia.</w:t>
      </w:r>
      <w:r w:rsidR="00E159E9">
        <w:rPr>
          <w:rFonts w:ascii="Century Gothic" w:hAnsi="Century Gothic"/>
          <w:color w:val="000000"/>
          <w:sz w:val="21"/>
          <w:szCs w:val="21"/>
          <w:lang w:val="es-PR"/>
        </w:rPr>
        <w:t xml:space="preserve"> Ha registrado un descenso del 20% con respecto al año 2020.</w:t>
      </w:r>
    </w:p>
    <w:p w14:paraId="1B4F08BD" w14:textId="77777777" w:rsidR="00826E44" w:rsidRPr="007B1E22" w:rsidRDefault="00826E44" w:rsidP="00826E44">
      <w:pPr>
        <w:jc w:val="both"/>
        <w:rPr>
          <w:rFonts w:ascii="Century Gothic" w:hAnsi="Century Gothic"/>
          <w:color w:val="000000"/>
          <w:sz w:val="21"/>
          <w:szCs w:val="21"/>
          <w:lang w:val="es-PR"/>
        </w:rPr>
      </w:pPr>
    </w:p>
    <w:p w14:paraId="420EF6FA" w14:textId="6AAE0E77" w:rsidR="00826E44" w:rsidRPr="007B1E22" w:rsidRDefault="00826E44" w:rsidP="00826E44">
      <w:pPr>
        <w:jc w:val="both"/>
        <w:rPr>
          <w:rFonts w:ascii="Century Gothic" w:hAnsi="Century Gothic"/>
          <w:color w:val="000000"/>
          <w:sz w:val="21"/>
          <w:szCs w:val="21"/>
          <w:lang w:val="es-PR"/>
        </w:rPr>
      </w:pPr>
      <w:r w:rsidRPr="002E3820">
        <w:rPr>
          <w:rFonts w:ascii="Century Gothic" w:hAnsi="Century Gothic"/>
          <w:color w:val="000000"/>
          <w:sz w:val="21"/>
          <w:szCs w:val="21"/>
          <w:lang w:val="es-PR"/>
        </w:rPr>
        <w:t>El nivel de consumo de agua de las empresas nacionales, con respecto al valor agregado de la producción, está en el mismo nivel del registrado por países vecinos como Colombia o Perú</w:t>
      </w:r>
      <w:r w:rsidR="00D117E9" w:rsidRPr="002E3820">
        <w:rPr>
          <w:rFonts w:ascii="Century Gothic" w:hAnsi="Century Gothic"/>
          <w:color w:val="000000"/>
          <w:sz w:val="21"/>
          <w:szCs w:val="21"/>
          <w:lang w:val="es-PR"/>
        </w:rPr>
        <w:t>, registrando un aumento del 9% con respecto al año 2020.</w:t>
      </w:r>
    </w:p>
    <w:p w14:paraId="5325B720" w14:textId="77777777" w:rsidR="00826E44" w:rsidRPr="007B1E22" w:rsidRDefault="00826E44" w:rsidP="00826E44">
      <w:pPr>
        <w:jc w:val="both"/>
        <w:rPr>
          <w:rFonts w:ascii="Century Gothic" w:hAnsi="Century Gothic"/>
          <w:color w:val="000000"/>
          <w:sz w:val="21"/>
          <w:szCs w:val="21"/>
          <w:lang w:val="es-PR"/>
        </w:rPr>
      </w:pPr>
    </w:p>
    <w:p w14:paraId="68EF2C73" w14:textId="33AF3208" w:rsidR="00826E44" w:rsidRPr="007B1E22" w:rsidRDefault="00826E44" w:rsidP="00826E44">
      <w:pPr>
        <w:jc w:val="both"/>
        <w:rPr>
          <w:rFonts w:ascii="Century Gothic" w:hAnsi="Century Gothic"/>
          <w:color w:val="000000"/>
          <w:sz w:val="21"/>
          <w:szCs w:val="21"/>
          <w:lang w:val="es-PR"/>
        </w:rPr>
      </w:pPr>
      <w:r w:rsidRPr="000427D8">
        <w:rPr>
          <w:rFonts w:ascii="Century Gothic" w:hAnsi="Century Gothic"/>
          <w:color w:val="000000"/>
          <w:sz w:val="21"/>
          <w:szCs w:val="21"/>
          <w:lang w:val="es-PR"/>
        </w:rPr>
        <w:t xml:space="preserve">Alrededor del </w:t>
      </w:r>
      <w:r w:rsidR="002E3820" w:rsidRPr="000427D8">
        <w:rPr>
          <w:rFonts w:ascii="Century Gothic" w:hAnsi="Century Gothic"/>
          <w:color w:val="000000"/>
          <w:sz w:val="21"/>
          <w:szCs w:val="21"/>
          <w:lang w:val="es-PR"/>
        </w:rPr>
        <w:t>84</w:t>
      </w:r>
      <w:r w:rsidRPr="000427D8">
        <w:rPr>
          <w:rFonts w:ascii="Century Gothic" w:hAnsi="Century Gothic"/>
          <w:color w:val="000000"/>
          <w:sz w:val="21"/>
          <w:szCs w:val="21"/>
          <w:lang w:val="es-PR"/>
        </w:rPr>
        <w:t>% de las empresas del país dan tratamiento a sus aguas residuales productivas, en tanto que alrededor del 9</w:t>
      </w:r>
      <w:r w:rsidR="002E3820" w:rsidRPr="000427D8">
        <w:rPr>
          <w:rFonts w:ascii="Century Gothic" w:hAnsi="Century Gothic"/>
          <w:color w:val="000000"/>
          <w:sz w:val="21"/>
          <w:szCs w:val="21"/>
          <w:lang w:val="es-PR"/>
        </w:rPr>
        <w:t>6</w:t>
      </w:r>
      <w:r w:rsidRPr="000427D8">
        <w:rPr>
          <w:rFonts w:ascii="Century Gothic" w:hAnsi="Century Gothic"/>
          <w:color w:val="000000"/>
          <w:sz w:val="21"/>
          <w:szCs w:val="21"/>
          <w:lang w:val="es-PR"/>
        </w:rPr>
        <w:t>% del volumen total de las aguas residuales llegan a ser tratadas antes de verterse a los acuíferos superficiales y subterráneos.</w:t>
      </w:r>
    </w:p>
    <w:p w14:paraId="3A893236" w14:textId="77777777" w:rsidR="00826E44" w:rsidRPr="007B1E22" w:rsidRDefault="00826E44" w:rsidP="00826E44">
      <w:pPr>
        <w:jc w:val="both"/>
        <w:rPr>
          <w:rFonts w:ascii="Century Gothic" w:hAnsi="Century Gothic"/>
          <w:color w:val="000000"/>
          <w:sz w:val="21"/>
          <w:szCs w:val="21"/>
          <w:lang w:val="es-PR"/>
        </w:rPr>
      </w:pPr>
    </w:p>
    <w:p w14:paraId="3C5813D0" w14:textId="77777777" w:rsidR="00826E44" w:rsidRPr="007B1E22" w:rsidRDefault="00826E44" w:rsidP="00826E44">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La generación de desechos sólidos, con respecto al valor agregado de la producción, está prácticamente en el mismo nivel registrado por países de la región, como México.</w:t>
      </w:r>
    </w:p>
    <w:p w14:paraId="19FCF65F" w14:textId="77777777" w:rsidR="00826E44" w:rsidRPr="007B1E22" w:rsidRDefault="00826E44" w:rsidP="00826E44">
      <w:pPr>
        <w:jc w:val="both"/>
        <w:rPr>
          <w:rFonts w:ascii="Century Gothic" w:hAnsi="Century Gothic"/>
          <w:color w:val="000000"/>
          <w:sz w:val="21"/>
          <w:szCs w:val="21"/>
          <w:lang w:val="es-PR"/>
        </w:rPr>
      </w:pPr>
    </w:p>
    <w:p w14:paraId="18844BE4" w14:textId="79CB3EE9" w:rsidR="00D43185" w:rsidRDefault="00826E44" w:rsidP="00826E44">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En general, puede decirse que la protección ambiental y la gestión de los recursos naturales son comparables en nivel con aquell</w:t>
      </w:r>
      <w:r w:rsidR="00BD1742">
        <w:rPr>
          <w:rFonts w:ascii="Century Gothic" w:hAnsi="Century Gothic"/>
          <w:color w:val="000000"/>
          <w:sz w:val="21"/>
          <w:szCs w:val="21"/>
          <w:lang w:val="es-PR"/>
        </w:rPr>
        <w:t>o</w:t>
      </w:r>
      <w:r w:rsidRPr="007B1E22">
        <w:rPr>
          <w:rFonts w:ascii="Century Gothic" w:hAnsi="Century Gothic"/>
          <w:color w:val="000000"/>
          <w:sz w:val="21"/>
          <w:szCs w:val="21"/>
          <w:lang w:val="es-PR"/>
        </w:rPr>
        <w:t>s de países de la región. Sin embargo, en la línea económico-ambiental persisten ciertas limitaciones que deben ser atendidas, sobre todo la baja producción ambiental y la mediana gestión de los procesos productivos para eliminar o reducir los contaminantes ambientales.</w:t>
      </w:r>
    </w:p>
    <w:p w14:paraId="05395713" w14:textId="77777777" w:rsidR="00D43185" w:rsidRDefault="00D43185">
      <w:pPr>
        <w:rPr>
          <w:rFonts w:ascii="Century Gothic" w:hAnsi="Century Gothic"/>
          <w:color w:val="000000"/>
          <w:sz w:val="21"/>
          <w:szCs w:val="21"/>
          <w:lang w:val="es-PR"/>
        </w:rPr>
      </w:pPr>
      <w:r>
        <w:rPr>
          <w:rFonts w:ascii="Century Gothic" w:hAnsi="Century Gothic"/>
          <w:color w:val="000000"/>
          <w:sz w:val="21"/>
          <w:szCs w:val="21"/>
          <w:lang w:val="es-PR"/>
        </w:rPr>
        <w:br w:type="page"/>
      </w:r>
    </w:p>
    <w:p w14:paraId="26603834" w14:textId="77777777" w:rsidR="00826E44" w:rsidRPr="000D670F" w:rsidRDefault="00826E44" w:rsidP="00826E44">
      <w:pPr>
        <w:pStyle w:val="Ttulo1"/>
        <w:rPr>
          <w:rFonts w:ascii="Century Gothic" w:eastAsiaTheme="minorHAnsi" w:hAnsi="Century Gothic" w:cstheme="minorBidi"/>
          <w:color w:val="646482"/>
          <w:lang w:val="es-EC" w:eastAsia="en-US" w:bidi="ar-SA"/>
        </w:rPr>
      </w:pPr>
      <w:bookmarkStart w:id="1" w:name="_Toc132722338"/>
      <w:r w:rsidRPr="000D670F">
        <w:rPr>
          <w:rFonts w:ascii="Century Gothic" w:eastAsiaTheme="minorHAnsi" w:hAnsi="Century Gothic" w:cstheme="minorBidi"/>
          <w:color w:val="646482"/>
          <w:lang w:val="es-EC" w:eastAsia="en-US" w:bidi="ar-SA"/>
        </w:rPr>
        <w:lastRenderedPageBreak/>
        <w:t>Introducción</w:t>
      </w:r>
      <w:bookmarkEnd w:id="1"/>
    </w:p>
    <w:p w14:paraId="5458FC94" w14:textId="77777777" w:rsidR="00826E44" w:rsidRPr="00646F55" w:rsidRDefault="00826E44" w:rsidP="00826E44">
      <w:pPr>
        <w:jc w:val="both"/>
        <w:rPr>
          <w:rFonts w:ascii="Century Gothic" w:hAnsi="Century Gothic" w:cs="Times New Roman"/>
          <w:color w:val="595959" w:themeColor="text1" w:themeTint="A6"/>
          <w:sz w:val="20"/>
          <w:szCs w:val="20"/>
          <w:highlight w:val="yellow"/>
          <w:lang w:val="es-ES_tradnl" w:eastAsia="es-ES_tradnl"/>
        </w:rPr>
      </w:pPr>
    </w:p>
    <w:p w14:paraId="74DEA3DC" w14:textId="77777777" w:rsidR="00826E44" w:rsidRPr="007B1E22" w:rsidRDefault="00826E44" w:rsidP="00826E44">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La problemática ambiental es, en la actualidad, de trascendencia y relevancia crucial, pues en la cultura y sociedad existe cada vez más conciencia por proteger al ambiente y gestionar mejor los escasos recursos naturales, tan indispensables para la supervivencia de las especies.</w:t>
      </w:r>
    </w:p>
    <w:p w14:paraId="1C4136EB" w14:textId="77777777" w:rsidR="00826E44" w:rsidRPr="007B1E22" w:rsidRDefault="00826E44" w:rsidP="00826E44">
      <w:pPr>
        <w:jc w:val="both"/>
        <w:rPr>
          <w:rFonts w:ascii="Century Gothic" w:hAnsi="Century Gothic"/>
          <w:color w:val="000000"/>
          <w:sz w:val="21"/>
          <w:szCs w:val="21"/>
          <w:lang w:val="es-PR"/>
        </w:rPr>
      </w:pPr>
    </w:p>
    <w:p w14:paraId="0CE4A2ED" w14:textId="77777777" w:rsidR="00826E44" w:rsidRDefault="00826E44" w:rsidP="00826E44">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Muchos esfuerzos realizan los estados y las organizaciones para mejorar sus decisiones y acciones con miras a lograr el objetivo planetario de preservar la Naturaleza, al tiempo de lograr avances en temas sociales y económicos.</w:t>
      </w:r>
    </w:p>
    <w:p w14:paraId="754E503B" w14:textId="77777777" w:rsidR="00FC5B43" w:rsidRPr="007B1E22" w:rsidRDefault="00FC5B43" w:rsidP="00826E44">
      <w:pPr>
        <w:jc w:val="both"/>
        <w:rPr>
          <w:rFonts w:ascii="Century Gothic" w:hAnsi="Century Gothic"/>
          <w:color w:val="000000"/>
          <w:sz w:val="21"/>
          <w:szCs w:val="21"/>
          <w:lang w:val="es-PR"/>
        </w:rPr>
      </w:pPr>
    </w:p>
    <w:p w14:paraId="7DA634F1" w14:textId="77777777" w:rsidR="00646F55" w:rsidRPr="007B1E22" w:rsidRDefault="00646F55" w:rsidP="00646F55">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Dado que el fenómeno ambiental está firmemente vinculado al fenómeno social y económico de una sociedad, surge espontáneamente la necesidad de evaluar el desempeño ambiental de la economía de las empresas del país, pues interesa sobremanera a diferentes actores el evaluar la relación entre economía y ambiente para un sector tan importante como es el sector productivo de un país.</w:t>
      </w:r>
    </w:p>
    <w:p w14:paraId="6C4A0114" w14:textId="77777777" w:rsidR="00646F55" w:rsidRPr="007B1E22" w:rsidRDefault="00646F55" w:rsidP="00646F55">
      <w:pPr>
        <w:jc w:val="both"/>
        <w:rPr>
          <w:rFonts w:ascii="Century Gothic" w:hAnsi="Century Gothic"/>
          <w:color w:val="000000"/>
          <w:sz w:val="21"/>
          <w:szCs w:val="21"/>
          <w:lang w:val="es-PR"/>
        </w:rPr>
      </w:pPr>
    </w:p>
    <w:p w14:paraId="6E183C19" w14:textId="3AC55CE2" w:rsidR="00646F55" w:rsidRPr="007B1E22" w:rsidRDefault="00646F55" w:rsidP="00646F55">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En este sentido, y en vista de lo complejo de desarrollar instrumentos útiles para el diseño de políticas ambientales alineadas con el objetivo planetario establecido, algunos organismos supranacionales, como la Organización de las Naciones Unidas (ONU) han creado instituciones adscritas que asesoran a las oficinas nacionales de estadística con el desarrollo de marcos metodológicos e indicadores útiles para el diseño y monitoreo de políticas ambientales nacionales e internacionales.</w:t>
      </w:r>
    </w:p>
    <w:p w14:paraId="32C67136" w14:textId="77777777" w:rsidR="00646F55" w:rsidRPr="007B1E22" w:rsidRDefault="00646F55" w:rsidP="00646F55">
      <w:pPr>
        <w:jc w:val="both"/>
        <w:rPr>
          <w:rFonts w:ascii="Century Gothic" w:hAnsi="Century Gothic"/>
          <w:color w:val="000000"/>
          <w:sz w:val="21"/>
          <w:szCs w:val="21"/>
          <w:lang w:val="es-PR"/>
        </w:rPr>
      </w:pPr>
    </w:p>
    <w:p w14:paraId="01F1EE47" w14:textId="2178FF2B" w:rsidR="00646F55" w:rsidRDefault="005655E7" w:rsidP="00646F55">
      <w:pPr>
        <w:jc w:val="both"/>
        <w:rPr>
          <w:rFonts w:ascii="Century Gothic" w:hAnsi="Century Gothic"/>
          <w:color w:val="000000"/>
          <w:sz w:val="21"/>
          <w:szCs w:val="21"/>
          <w:lang w:val="es-PR"/>
        </w:rPr>
      </w:pPr>
      <w:r>
        <w:rPr>
          <w:rFonts w:ascii="Century Gothic" w:hAnsi="Century Gothic"/>
          <w:color w:val="000000"/>
          <w:sz w:val="21"/>
          <w:szCs w:val="21"/>
          <w:lang w:val="es-PR"/>
        </w:rPr>
        <w:t>En c</w:t>
      </w:r>
      <w:r w:rsidR="00646F55" w:rsidRPr="007B1E22">
        <w:rPr>
          <w:rFonts w:ascii="Century Gothic" w:hAnsi="Century Gothic"/>
          <w:color w:val="000000"/>
          <w:sz w:val="21"/>
          <w:szCs w:val="21"/>
          <w:lang w:val="es-PR"/>
        </w:rPr>
        <w:t>oncret</w:t>
      </w:r>
      <w:r>
        <w:rPr>
          <w:rFonts w:ascii="Century Gothic" w:hAnsi="Century Gothic"/>
          <w:color w:val="000000"/>
          <w:sz w:val="21"/>
          <w:szCs w:val="21"/>
          <w:lang w:val="es-PR"/>
        </w:rPr>
        <w:t>o</w:t>
      </w:r>
      <w:r w:rsidR="00646F55" w:rsidRPr="007B1E22">
        <w:rPr>
          <w:rFonts w:ascii="Century Gothic" w:hAnsi="Century Gothic"/>
          <w:color w:val="000000"/>
          <w:sz w:val="21"/>
          <w:szCs w:val="21"/>
          <w:lang w:val="es-PR"/>
        </w:rPr>
        <w:t xml:space="preserve">, la Comisión Económica de América Latina y el Caribe (CEPAL) ha estado jugando un rol protagónico </w:t>
      </w:r>
      <w:r w:rsidR="00646F55" w:rsidRPr="007B1E22">
        <w:rPr>
          <w:rFonts w:ascii="Century Gothic" w:hAnsi="Century Gothic"/>
          <w:color w:val="000000"/>
          <w:sz w:val="21"/>
          <w:szCs w:val="21"/>
          <w:lang w:val="es-PR"/>
        </w:rPr>
        <w:t>en la región con respecto al desarrollo de marcos metodológicos</w:t>
      </w:r>
      <w:r>
        <w:rPr>
          <w:rFonts w:ascii="Century Gothic" w:hAnsi="Century Gothic"/>
          <w:color w:val="000000"/>
          <w:sz w:val="21"/>
          <w:szCs w:val="21"/>
          <w:lang w:val="es-PR"/>
        </w:rPr>
        <w:t xml:space="preserve"> y </w:t>
      </w:r>
      <w:r w:rsidRPr="007B1E22">
        <w:rPr>
          <w:rFonts w:ascii="Century Gothic" w:hAnsi="Century Gothic"/>
          <w:color w:val="000000"/>
          <w:sz w:val="21"/>
          <w:szCs w:val="21"/>
          <w:lang w:val="es-PR"/>
        </w:rPr>
        <w:t xml:space="preserve">conceptuales </w:t>
      </w:r>
      <w:r>
        <w:rPr>
          <w:rFonts w:ascii="Century Gothic" w:hAnsi="Century Gothic"/>
          <w:color w:val="000000"/>
          <w:sz w:val="21"/>
          <w:szCs w:val="21"/>
          <w:lang w:val="es-PR"/>
        </w:rPr>
        <w:t xml:space="preserve">para la </w:t>
      </w:r>
      <w:r w:rsidR="00646F55" w:rsidRPr="007B1E22">
        <w:rPr>
          <w:rFonts w:ascii="Century Gothic" w:hAnsi="Century Gothic"/>
          <w:color w:val="000000"/>
          <w:sz w:val="21"/>
          <w:szCs w:val="21"/>
          <w:lang w:val="es-PR"/>
        </w:rPr>
        <w:t>medición de varias dimensiones del fenómeno ambiental desde hace vari</w:t>
      </w:r>
      <w:r>
        <w:rPr>
          <w:rFonts w:ascii="Century Gothic" w:hAnsi="Century Gothic"/>
          <w:color w:val="000000"/>
          <w:sz w:val="21"/>
          <w:szCs w:val="21"/>
          <w:lang w:val="es-PR"/>
        </w:rPr>
        <w:t>o</w:t>
      </w:r>
      <w:r w:rsidR="00646F55" w:rsidRPr="007B1E22">
        <w:rPr>
          <w:rFonts w:ascii="Century Gothic" w:hAnsi="Century Gothic"/>
          <w:color w:val="000000"/>
          <w:sz w:val="21"/>
          <w:szCs w:val="21"/>
          <w:lang w:val="es-PR"/>
        </w:rPr>
        <w:t xml:space="preserve">s </w:t>
      </w:r>
      <w:r>
        <w:rPr>
          <w:rFonts w:ascii="Century Gothic" w:hAnsi="Century Gothic"/>
          <w:color w:val="000000"/>
          <w:sz w:val="21"/>
          <w:szCs w:val="21"/>
          <w:lang w:val="es-PR"/>
        </w:rPr>
        <w:t>años</w:t>
      </w:r>
      <w:r w:rsidR="00646F55" w:rsidRPr="007B1E22">
        <w:rPr>
          <w:rFonts w:ascii="Century Gothic" w:hAnsi="Century Gothic"/>
          <w:color w:val="000000"/>
          <w:sz w:val="21"/>
          <w:szCs w:val="21"/>
          <w:lang w:val="es-PR"/>
        </w:rPr>
        <w:t xml:space="preserve">. Este organismo está actualmente brindando asistencia técnica a varias oficinas nacionales de Estadística –incluyendo al Instituto </w:t>
      </w:r>
      <w:r w:rsidR="00F835C8">
        <w:rPr>
          <w:rFonts w:ascii="Century Gothic" w:hAnsi="Century Gothic"/>
          <w:color w:val="000000"/>
          <w:sz w:val="21"/>
          <w:szCs w:val="21"/>
          <w:lang w:val="es-PR"/>
        </w:rPr>
        <w:t>Nacional</w:t>
      </w:r>
      <w:r w:rsidR="00646F55" w:rsidRPr="007B1E22">
        <w:rPr>
          <w:rFonts w:ascii="Century Gothic" w:hAnsi="Century Gothic"/>
          <w:color w:val="000000"/>
          <w:sz w:val="21"/>
          <w:szCs w:val="21"/>
          <w:lang w:val="es-PR"/>
        </w:rPr>
        <w:t xml:space="preserve"> de Estadística y Censos (INEC)- en las líneas mencionadas.</w:t>
      </w:r>
    </w:p>
    <w:p w14:paraId="2EA46F4B" w14:textId="77777777" w:rsidR="00FC5B43" w:rsidRPr="007B1E22" w:rsidRDefault="00FC5B43" w:rsidP="00646F55">
      <w:pPr>
        <w:jc w:val="both"/>
        <w:rPr>
          <w:rFonts w:ascii="Century Gothic" w:hAnsi="Century Gothic"/>
          <w:color w:val="000000"/>
          <w:sz w:val="21"/>
          <w:szCs w:val="21"/>
          <w:lang w:val="es-PR"/>
        </w:rPr>
      </w:pPr>
    </w:p>
    <w:p w14:paraId="1C935F5C" w14:textId="6445C922" w:rsidR="00646F55" w:rsidRPr="007B1E22" w:rsidRDefault="00646F55" w:rsidP="00646F55">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D</w:t>
      </w:r>
      <w:r w:rsidR="000330D5" w:rsidRPr="007B1E22">
        <w:rPr>
          <w:rFonts w:ascii="Century Gothic" w:hAnsi="Century Gothic"/>
          <w:color w:val="000000"/>
          <w:sz w:val="21"/>
          <w:szCs w:val="21"/>
          <w:lang w:val="es-PR"/>
        </w:rPr>
        <w:t>ebi</w:t>
      </w:r>
      <w:r w:rsidRPr="007B1E22">
        <w:rPr>
          <w:rFonts w:ascii="Century Gothic" w:hAnsi="Century Gothic"/>
          <w:color w:val="000000"/>
          <w:sz w:val="21"/>
          <w:szCs w:val="21"/>
          <w:lang w:val="es-PR"/>
        </w:rPr>
        <w:t>do</w:t>
      </w:r>
      <w:r w:rsidR="000330D5" w:rsidRPr="007B1E22">
        <w:rPr>
          <w:rFonts w:ascii="Century Gothic" w:hAnsi="Century Gothic"/>
          <w:color w:val="000000"/>
          <w:sz w:val="21"/>
          <w:szCs w:val="21"/>
          <w:lang w:val="es-PR"/>
        </w:rPr>
        <w:t xml:space="preserve"> a  que,</w:t>
      </w:r>
      <w:r w:rsidRPr="007B1E22">
        <w:rPr>
          <w:rFonts w:ascii="Century Gothic" w:hAnsi="Century Gothic"/>
          <w:color w:val="000000"/>
          <w:sz w:val="21"/>
          <w:szCs w:val="21"/>
          <w:lang w:val="es-PR"/>
        </w:rPr>
        <w:t xml:space="preserve"> en nuestro país, el INEC ha venido levantando información estadística ambiental para el monitoreo de ciertos objetivos y metas ambientales concretas, se ha llevado esta iniciativa institucional hacia un nuevo estadio evolutivo, en </w:t>
      </w:r>
      <w:r w:rsidR="00C8284C">
        <w:rPr>
          <w:rFonts w:ascii="Century Gothic" w:hAnsi="Century Gothic"/>
          <w:color w:val="000000"/>
          <w:sz w:val="21"/>
          <w:szCs w:val="21"/>
          <w:lang w:val="es-PR"/>
        </w:rPr>
        <w:t>el cual</w:t>
      </w:r>
      <w:r w:rsidRPr="007B1E22">
        <w:rPr>
          <w:rFonts w:ascii="Century Gothic" w:hAnsi="Century Gothic"/>
          <w:color w:val="000000"/>
          <w:sz w:val="21"/>
          <w:szCs w:val="21"/>
          <w:lang w:val="es-PR"/>
        </w:rPr>
        <w:t xml:space="preserve"> los datos que se levanten en una operación estadística empresarial tengan un alto nivel de coherencia e integración, mirando al fenómeno empresarial desde una doble perspectiva, económica </w:t>
      </w:r>
      <w:r w:rsidR="00FF60F7">
        <w:rPr>
          <w:rFonts w:ascii="Century Gothic" w:hAnsi="Century Gothic"/>
          <w:color w:val="000000"/>
          <w:sz w:val="21"/>
          <w:szCs w:val="21"/>
          <w:lang w:val="es-PR"/>
        </w:rPr>
        <w:t>y</w:t>
      </w:r>
      <w:r w:rsidRPr="007B1E22">
        <w:rPr>
          <w:rFonts w:ascii="Century Gothic" w:hAnsi="Century Gothic"/>
          <w:color w:val="000000"/>
          <w:sz w:val="21"/>
          <w:szCs w:val="21"/>
          <w:lang w:val="es-PR"/>
        </w:rPr>
        <w:t xml:space="preserve"> ambiental.</w:t>
      </w:r>
    </w:p>
    <w:p w14:paraId="5CBE0717" w14:textId="77777777" w:rsidR="00646F55" w:rsidRPr="007B1E22" w:rsidRDefault="00646F55" w:rsidP="00646F55">
      <w:pPr>
        <w:jc w:val="both"/>
        <w:rPr>
          <w:rFonts w:ascii="Century Gothic" w:hAnsi="Century Gothic"/>
          <w:color w:val="000000"/>
          <w:sz w:val="21"/>
          <w:szCs w:val="21"/>
          <w:lang w:val="es-PR"/>
        </w:rPr>
      </w:pPr>
    </w:p>
    <w:p w14:paraId="0122DFD1" w14:textId="070C23E5" w:rsidR="00646F55" w:rsidRPr="007B1E22" w:rsidRDefault="00646F55" w:rsidP="00646F55">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Así, el INEC ha tomado para el diseño del Módulo Ambiental</w:t>
      </w:r>
      <w:r w:rsidR="00F835C8">
        <w:rPr>
          <w:rFonts w:ascii="Century Gothic" w:hAnsi="Century Gothic"/>
          <w:color w:val="000000"/>
          <w:sz w:val="21"/>
          <w:szCs w:val="21"/>
          <w:lang w:val="es-PR"/>
        </w:rPr>
        <w:t xml:space="preserve"> Económica</w:t>
      </w:r>
      <w:r w:rsidRPr="007B1E22">
        <w:rPr>
          <w:rFonts w:ascii="Century Gothic" w:hAnsi="Century Gothic"/>
          <w:color w:val="000000"/>
          <w:sz w:val="21"/>
          <w:szCs w:val="21"/>
          <w:lang w:val="es-PR"/>
        </w:rPr>
        <w:t xml:space="preserve"> de la Encuesta Estructural Empresarial 2017</w:t>
      </w:r>
      <w:r w:rsidR="00F52ECC">
        <w:rPr>
          <w:rFonts w:ascii="Century Gothic" w:hAnsi="Century Gothic"/>
          <w:color w:val="000000"/>
          <w:sz w:val="21"/>
          <w:szCs w:val="21"/>
          <w:lang w:val="es-PR"/>
        </w:rPr>
        <w:t xml:space="preserve"> y posteriores</w:t>
      </w:r>
      <w:r w:rsidRPr="007B1E22">
        <w:rPr>
          <w:rFonts w:ascii="Century Gothic" w:hAnsi="Century Gothic"/>
          <w:color w:val="000000"/>
          <w:sz w:val="21"/>
          <w:szCs w:val="21"/>
          <w:lang w:val="es-PR"/>
        </w:rPr>
        <w:t xml:space="preserve"> el marco conceptual y metodológico del Programa de las Naciones Unidas para el Medio Ambiente (PNUMA), basado en el enfoque denominado “</w:t>
      </w:r>
      <w:r w:rsidRPr="007B1E22">
        <w:rPr>
          <w:rFonts w:ascii="Century Gothic" w:hAnsi="Century Gothic"/>
          <w:b/>
          <w:color w:val="538135" w:themeColor="accent6" w:themeShade="BF"/>
          <w:sz w:val="21"/>
          <w:szCs w:val="21"/>
          <w:lang w:val="es-PR"/>
        </w:rPr>
        <w:t>Economía Verde</w:t>
      </w:r>
      <w:r w:rsidRPr="007B1E22">
        <w:rPr>
          <w:rFonts w:ascii="Century Gothic" w:hAnsi="Century Gothic"/>
          <w:color w:val="000000"/>
          <w:sz w:val="21"/>
          <w:szCs w:val="21"/>
          <w:lang w:val="es-PR"/>
        </w:rPr>
        <w:t>”. Según el PNUMA, se trata de</w:t>
      </w:r>
    </w:p>
    <w:p w14:paraId="31F0FBF7" w14:textId="77777777" w:rsidR="00646F55" w:rsidRPr="007B1E22" w:rsidRDefault="00646F55" w:rsidP="00646F55">
      <w:pPr>
        <w:jc w:val="both"/>
        <w:rPr>
          <w:rFonts w:ascii="Century Gothic" w:hAnsi="Century Gothic"/>
          <w:color w:val="000000"/>
          <w:sz w:val="21"/>
          <w:szCs w:val="21"/>
          <w:lang w:val="es-PR"/>
        </w:rPr>
      </w:pPr>
    </w:p>
    <w:p w14:paraId="04FEFE90" w14:textId="32CAECC6" w:rsidR="00646F55" w:rsidRPr="007B1E22" w:rsidRDefault="00646F55" w:rsidP="00646F55">
      <w:pPr>
        <w:ind w:left="432"/>
        <w:jc w:val="both"/>
        <w:rPr>
          <w:rFonts w:ascii="Century Gothic" w:hAnsi="Century Gothic"/>
          <w:color w:val="000000"/>
          <w:sz w:val="21"/>
          <w:szCs w:val="21"/>
          <w:lang w:val="es-PR"/>
        </w:rPr>
      </w:pPr>
      <w:r w:rsidRPr="007B1E22">
        <w:rPr>
          <w:rFonts w:ascii="Century Gothic" w:hAnsi="Century Gothic"/>
          <w:color w:val="000000"/>
          <w:sz w:val="21"/>
          <w:szCs w:val="21"/>
          <w:lang w:val="es-PR"/>
        </w:rPr>
        <w:t>“</w:t>
      </w:r>
      <w:r w:rsidRPr="007B1E22">
        <w:rPr>
          <w:rFonts w:ascii="Century Gothic" w:hAnsi="Century Gothic"/>
          <w:i/>
          <w:color w:val="000000"/>
          <w:sz w:val="21"/>
          <w:szCs w:val="21"/>
          <w:lang w:val="es-PR"/>
        </w:rPr>
        <w:t>una economía que se traduce en bienestar humano mejorado y en equidad social, al tiempo que reduce significativamente los riesgos ambientales y la escasez ecológica</w:t>
      </w:r>
      <w:r w:rsidRPr="007B1E22">
        <w:rPr>
          <w:rFonts w:ascii="Century Gothic" w:hAnsi="Century Gothic"/>
          <w:color w:val="000000"/>
          <w:sz w:val="21"/>
          <w:szCs w:val="21"/>
          <w:lang w:val="es-PR"/>
        </w:rPr>
        <w:t>”</w:t>
      </w:r>
      <w:r w:rsidRPr="007B1E22">
        <w:rPr>
          <w:rStyle w:val="Refdenotaalpie"/>
          <w:rFonts w:ascii="Century Gothic" w:hAnsi="Century Gothic"/>
          <w:color w:val="000000"/>
          <w:sz w:val="21"/>
          <w:szCs w:val="21"/>
          <w:lang w:val="es-PR"/>
        </w:rPr>
        <w:footnoteReference w:id="1"/>
      </w:r>
      <w:r w:rsidRPr="007B1E22">
        <w:rPr>
          <w:rFonts w:ascii="Century Gothic" w:hAnsi="Century Gothic"/>
          <w:color w:val="000000"/>
          <w:sz w:val="21"/>
          <w:szCs w:val="21"/>
          <w:lang w:val="es-PR"/>
        </w:rPr>
        <w:t xml:space="preserve"> </w:t>
      </w:r>
      <w:sdt>
        <w:sdtPr>
          <w:rPr>
            <w:rFonts w:ascii="Century Gothic" w:hAnsi="Century Gothic"/>
            <w:color w:val="000000"/>
            <w:sz w:val="21"/>
            <w:szCs w:val="21"/>
            <w:lang w:val="en-US"/>
          </w:rPr>
          <w:id w:val="-1069337207"/>
          <w:citation/>
        </w:sdtPr>
        <w:sdtEndPr/>
        <w:sdtContent>
          <w:r w:rsidRPr="007B1E22">
            <w:rPr>
              <w:rFonts w:ascii="Century Gothic" w:hAnsi="Century Gothic"/>
              <w:color w:val="000000"/>
              <w:sz w:val="21"/>
              <w:szCs w:val="21"/>
              <w:lang w:val="en-US"/>
            </w:rPr>
            <w:fldChar w:fldCharType="begin"/>
          </w:r>
          <w:r w:rsidRPr="007B1E22">
            <w:rPr>
              <w:rFonts w:ascii="Century Gothic" w:hAnsi="Century Gothic"/>
              <w:color w:val="000000"/>
              <w:sz w:val="21"/>
              <w:szCs w:val="21"/>
              <w:lang w:val="es-PR"/>
            </w:rPr>
            <w:instrText xml:space="preserve">CITATION UNE14 \p 3 \l 20490 </w:instrText>
          </w:r>
          <w:r w:rsidRPr="007B1E22">
            <w:rPr>
              <w:rFonts w:ascii="Century Gothic" w:hAnsi="Century Gothic"/>
              <w:color w:val="000000"/>
              <w:sz w:val="21"/>
              <w:szCs w:val="21"/>
              <w:lang w:val="en-US"/>
            </w:rPr>
            <w:fldChar w:fldCharType="separate"/>
          </w:r>
          <w:r w:rsidR="000A66AF" w:rsidRPr="000A66AF">
            <w:rPr>
              <w:rFonts w:ascii="Century Gothic" w:hAnsi="Century Gothic"/>
              <w:noProof/>
              <w:color w:val="000000"/>
              <w:sz w:val="21"/>
              <w:szCs w:val="21"/>
              <w:lang w:val="es-PR"/>
            </w:rPr>
            <w:t>(UNEP, 2014, pág. 3)</w:t>
          </w:r>
          <w:r w:rsidRPr="007B1E22">
            <w:rPr>
              <w:rFonts w:ascii="Century Gothic" w:hAnsi="Century Gothic"/>
              <w:color w:val="000000"/>
              <w:sz w:val="21"/>
              <w:szCs w:val="21"/>
              <w:lang w:val="en-US"/>
            </w:rPr>
            <w:fldChar w:fldCharType="end"/>
          </w:r>
        </w:sdtContent>
      </w:sdt>
    </w:p>
    <w:p w14:paraId="45789265" w14:textId="77777777" w:rsidR="00646F55" w:rsidRPr="007B1E22" w:rsidRDefault="00646F55" w:rsidP="00646F55">
      <w:pPr>
        <w:jc w:val="both"/>
        <w:rPr>
          <w:rFonts w:ascii="Century Gothic" w:hAnsi="Century Gothic"/>
          <w:color w:val="000000"/>
          <w:sz w:val="21"/>
          <w:szCs w:val="21"/>
          <w:lang w:val="es-PR"/>
        </w:rPr>
      </w:pPr>
    </w:p>
    <w:p w14:paraId="3D95181A" w14:textId="28BCF4E5" w:rsidR="00646F55" w:rsidRDefault="00646F55" w:rsidP="00646F55">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 xml:space="preserve">Según </w:t>
      </w:r>
      <w:sdt>
        <w:sdtPr>
          <w:rPr>
            <w:rFonts w:ascii="Century Gothic" w:hAnsi="Century Gothic"/>
            <w:color w:val="000000"/>
            <w:sz w:val="21"/>
            <w:szCs w:val="21"/>
            <w:lang w:val="es-PR"/>
          </w:rPr>
          <w:id w:val="462707446"/>
          <w:citation/>
        </w:sdtPr>
        <w:sdtEndPr/>
        <w:sdtContent>
          <w:r w:rsidRPr="007B1E22">
            <w:rPr>
              <w:rFonts w:ascii="Century Gothic" w:hAnsi="Century Gothic"/>
              <w:color w:val="000000"/>
              <w:sz w:val="21"/>
              <w:szCs w:val="21"/>
              <w:lang w:val="es-PR"/>
            </w:rPr>
            <w:fldChar w:fldCharType="begin"/>
          </w:r>
          <w:r w:rsidRPr="007B1E22">
            <w:rPr>
              <w:rFonts w:ascii="Century Gothic" w:hAnsi="Century Gothic"/>
              <w:color w:val="000000"/>
              <w:sz w:val="21"/>
              <w:szCs w:val="21"/>
              <w:lang w:val="es-PR"/>
            </w:rPr>
            <w:instrText xml:space="preserve">CITATION Cer17 \l 20490 </w:instrText>
          </w:r>
          <w:r w:rsidRPr="007B1E22">
            <w:rPr>
              <w:rFonts w:ascii="Century Gothic" w:hAnsi="Century Gothic"/>
              <w:color w:val="000000"/>
              <w:sz w:val="21"/>
              <w:szCs w:val="21"/>
              <w:lang w:val="es-PR"/>
            </w:rPr>
            <w:fldChar w:fldCharType="separate"/>
          </w:r>
          <w:r w:rsidR="000A66AF" w:rsidRPr="000A66AF">
            <w:rPr>
              <w:rFonts w:ascii="Century Gothic" w:hAnsi="Century Gothic"/>
              <w:noProof/>
              <w:color w:val="000000"/>
              <w:sz w:val="21"/>
              <w:szCs w:val="21"/>
              <w:lang w:val="es-PR"/>
            </w:rPr>
            <w:t>(Cervera-Ferri &amp; Ureña, 2017)</w:t>
          </w:r>
          <w:r w:rsidRPr="007B1E22">
            <w:rPr>
              <w:rFonts w:ascii="Century Gothic" w:hAnsi="Century Gothic"/>
              <w:color w:val="000000"/>
              <w:sz w:val="21"/>
              <w:szCs w:val="21"/>
              <w:lang w:val="es-PR"/>
            </w:rPr>
            <w:fldChar w:fldCharType="end"/>
          </w:r>
        </w:sdtContent>
      </w:sdt>
      <w:r w:rsidRPr="007B1E22">
        <w:rPr>
          <w:rFonts w:ascii="Century Gothic" w:hAnsi="Century Gothic"/>
          <w:color w:val="000000"/>
          <w:sz w:val="21"/>
          <w:szCs w:val="21"/>
          <w:lang w:val="es-PR"/>
        </w:rPr>
        <w:t>, se trata de una interpretación de la categoría conceptual “Economía Sostenible”, la cual engloba las tres dimensiones del desarrollo sostenible: social, económica y ambiental</w:t>
      </w:r>
      <w:r w:rsidRPr="007B1E22">
        <w:rPr>
          <w:rStyle w:val="Refdenotaalpie"/>
          <w:rFonts w:ascii="Century Gothic" w:hAnsi="Century Gothic"/>
          <w:color w:val="000000"/>
          <w:sz w:val="21"/>
          <w:szCs w:val="21"/>
          <w:lang w:val="es-PR"/>
        </w:rPr>
        <w:footnoteReference w:id="2"/>
      </w:r>
      <w:r w:rsidRPr="007B1E22">
        <w:rPr>
          <w:rFonts w:ascii="Century Gothic" w:hAnsi="Century Gothic"/>
          <w:color w:val="000000"/>
          <w:sz w:val="21"/>
          <w:szCs w:val="21"/>
          <w:lang w:val="es-PR"/>
        </w:rPr>
        <w:t>.</w:t>
      </w:r>
    </w:p>
    <w:p w14:paraId="1BCA72B7" w14:textId="77777777" w:rsidR="00646F55" w:rsidRPr="007B1E22" w:rsidRDefault="00646F55" w:rsidP="00646F55">
      <w:pPr>
        <w:jc w:val="both"/>
        <w:rPr>
          <w:rFonts w:ascii="Century Gothic" w:hAnsi="Century Gothic"/>
          <w:color w:val="000000"/>
          <w:sz w:val="21"/>
          <w:szCs w:val="21"/>
          <w:lang w:val="es-PR"/>
        </w:rPr>
      </w:pPr>
      <w:r w:rsidRPr="007B1E22">
        <w:rPr>
          <w:rFonts w:ascii="Century Gothic" w:hAnsi="Century Gothic"/>
          <w:color w:val="000000"/>
          <w:sz w:val="21"/>
          <w:szCs w:val="21"/>
          <w:lang w:val="es-PR"/>
        </w:rPr>
        <w:lastRenderedPageBreak/>
        <w:t>En las diferentes referencias al concepto de “</w:t>
      </w:r>
      <w:r w:rsidRPr="007B1E22">
        <w:rPr>
          <w:rFonts w:ascii="Century Gothic" w:hAnsi="Century Gothic"/>
          <w:b/>
          <w:color w:val="538135" w:themeColor="accent6" w:themeShade="BF"/>
          <w:sz w:val="21"/>
          <w:szCs w:val="21"/>
          <w:lang w:val="es-PR"/>
        </w:rPr>
        <w:t>Economía Verde</w:t>
      </w:r>
      <w:r w:rsidRPr="007B1E22">
        <w:rPr>
          <w:rFonts w:ascii="Century Gothic" w:hAnsi="Century Gothic"/>
          <w:color w:val="000000"/>
          <w:sz w:val="21"/>
          <w:szCs w:val="21"/>
          <w:lang w:val="es-PR"/>
        </w:rPr>
        <w:t>”, se señalan comúnmente 3 características del mismo:</w:t>
      </w:r>
    </w:p>
    <w:p w14:paraId="409FA515" w14:textId="77777777" w:rsidR="00646F55" w:rsidRPr="007B1E22" w:rsidRDefault="00646F55" w:rsidP="00646F55">
      <w:pPr>
        <w:jc w:val="both"/>
        <w:rPr>
          <w:rFonts w:ascii="Century Gothic" w:hAnsi="Century Gothic"/>
          <w:color w:val="000000"/>
          <w:sz w:val="21"/>
          <w:szCs w:val="21"/>
          <w:lang w:val="es-PR"/>
        </w:rPr>
      </w:pPr>
    </w:p>
    <w:p w14:paraId="478CDEDC" w14:textId="77777777" w:rsidR="00646F55" w:rsidRPr="007B1E22" w:rsidRDefault="00646F55" w:rsidP="00646F55">
      <w:pPr>
        <w:pStyle w:val="Prrafodelista"/>
        <w:numPr>
          <w:ilvl w:val="0"/>
          <w:numId w:val="9"/>
        </w:numPr>
        <w:jc w:val="both"/>
        <w:rPr>
          <w:rFonts w:ascii="Century Gothic" w:hAnsi="Century Gothic" w:cs="Century Gothic"/>
          <w:color w:val="000000"/>
          <w:sz w:val="21"/>
          <w:szCs w:val="21"/>
          <w:lang w:val="es-PR"/>
        </w:rPr>
      </w:pPr>
      <w:r w:rsidRPr="007B1E22">
        <w:rPr>
          <w:rFonts w:ascii="Century Gothic" w:hAnsi="Century Gothic" w:cs="Century Gothic"/>
          <w:color w:val="000000"/>
          <w:sz w:val="21"/>
          <w:szCs w:val="21"/>
          <w:lang w:val="es-PR"/>
        </w:rPr>
        <w:t xml:space="preserve">“Es respetuosa con el </w:t>
      </w:r>
      <w:r w:rsidRPr="007B1E22">
        <w:rPr>
          <w:rFonts w:ascii="Century Gothic" w:hAnsi="Century Gothic" w:cs="Century Gothic"/>
          <w:i/>
          <w:color w:val="000000"/>
          <w:sz w:val="21"/>
          <w:szCs w:val="21"/>
          <w:lang w:val="es-PR"/>
        </w:rPr>
        <w:t>medio ambiente</w:t>
      </w:r>
      <w:r w:rsidRPr="007B1E22">
        <w:rPr>
          <w:rFonts w:ascii="Century Gothic" w:hAnsi="Century Gothic" w:cs="Century Gothic"/>
          <w:color w:val="000000"/>
          <w:sz w:val="21"/>
          <w:szCs w:val="21"/>
          <w:lang w:val="es-PR"/>
        </w:rPr>
        <w:t>,</w:t>
      </w:r>
    </w:p>
    <w:p w14:paraId="024E7BA9" w14:textId="77777777" w:rsidR="00646F55" w:rsidRPr="007B1E22" w:rsidRDefault="00646F55" w:rsidP="00646F55">
      <w:pPr>
        <w:pStyle w:val="Prrafodelista"/>
        <w:numPr>
          <w:ilvl w:val="0"/>
          <w:numId w:val="9"/>
        </w:numPr>
        <w:autoSpaceDE w:val="0"/>
        <w:autoSpaceDN w:val="0"/>
        <w:adjustRightInd w:val="0"/>
        <w:jc w:val="both"/>
        <w:rPr>
          <w:rFonts w:ascii="Century Gothic" w:hAnsi="Century Gothic" w:cs="Century Gothic"/>
          <w:color w:val="000000"/>
          <w:sz w:val="21"/>
          <w:szCs w:val="21"/>
          <w:lang w:val="es-PR"/>
        </w:rPr>
      </w:pPr>
      <w:r w:rsidRPr="007B1E22">
        <w:rPr>
          <w:rFonts w:ascii="Century Gothic" w:hAnsi="Century Gothic" w:cs="Century Gothic"/>
          <w:color w:val="000000"/>
          <w:sz w:val="21"/>
          <w:szCs w:val="21"/>
          <w:lang w:val="es-PR"/>
        </w:rPr>
        <w:t xml:space="preserve">Se basa en </w:t>
      </w:r>
      <w:r w:rsidRPr="007B1E22">
        <w:rPr>
          <w:rFonts w:ascii="Century Gothic" w:hAnsi="Century Gothic" w:cs="Century Gothic"/>
          <w:i/>
          <w:color w:val="000000"/>
          <w:sz w:val="21"/>
          <w:szCs w:val="21"/>
          <w:lang w:val="es-PR"/>
        </w:rPr>
        <w:t>energías renovables</w:t>
      </w:r>
      <w:r w:rsidRPr="007B1E22">
        <w:rPr>
          <w:rFonts w:ascii="Century Gothic" w:hAnsi="Century Gothic" w:cs="Century Gothic"/>
          <w:color w:val="000000"/>
          <w:sz w:val="21"/>
          <w:szCs w:val="21"/>
          <w:lang w:val="es-PR"/>
        </w:rPr>
        <w:t xml:space="preserve"> y en la utilización de </w:t>
      </w:r>
      <w:r w:rsidRPr="007B1E22">
        <w:rPr>
          <w:rFonts w:ascii="Century Gothic" w:hAnsi="Century Gothic" w:cs="Century Gothic"/>
          <w:i/>
          <w:color w:val="000000"/>
          <w:sz w:val="21"/>
          <w:szCs w:val="21"/>
          <w:lang w:val="es-PR"/>
        </w:rPr>
        <w:t>combustibles ‘limpios’</w:t>
      </w:r>
      <w:r w:rsidRPr="007B1E22">
        <w:rPr>
          <w:rFonts w:ascii="Century Gothic" w:hAnsi="Century Gothic" w:cs="Century Gothic"/>
          <w:color w:val="000000"/>
          <w:sz w:val="21"/>
          <w:szCs w:val="21"/>
          <w:lang w:val="es-PR"/>
        </w:rPr>
        <w:t>;</w:t>
      </w:r>
    </w:p>
    <w:p w14:paraId="17EABECA" w14:textId="35CD1F2C" w:rsidR="00646F55" w:rsidRPr="007B1E22" w:rsidRDefault="00646F55" w:rsidP="00646F55">
      <w:pPr>
        <w:pStyle w:val="Prrafodelista"/>
        <w:numPr>
          <w:ilvl w:val="0"/>
          <w:numId w:val="9"/>
        </w:numPr>
        <w:autoSpaceDE w:val="0"/>
        <w:autoSpaceDN w:val="0"/>
        <w:adjustRightInd w:val="0"/>
        <w:jc w:val="both"/>
        <w:rPr>
          <w:rFonts w:ascii="Century Gothic" w:hAnsi="Century Gothic" w:cs="Century Gothic"/>
          <w:color w:val="000000"/>
          <w:sz w:val="21"/>
          <w:szCs w:val="21"/>
          <w:lang w:val="es-PR"/>
        </w:rPr>
      </w:pPr>
      <w:r w:rsidRPr="007B1E22">
        <w:rPr>
          <w:rFonts w:ascii="Century Gothic" w:hAnsi="Century Gothic" w:cs="Century Gothic"/>
          <w:color w:val="000000"/>
          <w:sz w:val="21"/>
          <w:szCs w:val="21"/>
          <w:lang w:val="es-PR"/>
        </w:rPr>
        <w:t xml:space="preserve">Las </w:t>
      </w:r>
      <w:r w:rsidRPr="007B1E22">
        <w:rPr>
          <w:rFonts w:ascii="Century Gothic" w:hAnsi="Century Gothic" w:cs="Century Gothic"/>
          <w:i/>
          <w:color w:val="000000"/>
          <w:sz w:val="21"/>
          <w:szCs w:val="21"/>
          <w:lang w:val="es-PR"/>
        </w:rPr>
        <w:t>infraestructuras</w:t>
      </w:r>
      <w:r w:rsidRPr="007B1E22">
        <w:rPr>
          <w:rFonts w:ascii="Century Gothic" w:hAnsi="Century Gothic" w:cs="Century Gothic"/>
          <w:color w:val="000000"/>
          <w:sz w:val="21"/>
          <w:szCs w:val="21"/>
          <w:lang w:val="es-PR"/>
        </w:rPr>
        <w:t xml:space="preserve"> de transporte y los edificios, así como los </w:t>
      </w:r>
      <w:r w:rsidRPr="007B1E22">
        <w:rPr>
          <w:rFonts w:ascii="Century Gothic" w:hAnsi="Century Gothic" w:cs="Century Gothic"/>
          <w:i/>
          <w:color w:val="000000"/>
          <w:sz w:val="21"/>
          <w:szCs w:val="21"/>
          <w:lang w:val="es-PR"/>
        </w:rPr>
        <w:t>métodos de producción, construcción y distribución</w:t>
      </w:r>
      <w:r w:rsidRPr="007B1E22">
        <w:rPr>
          <w:rFonts w:ascii="Century Gothic" w:hAnsi="Century Gothic" w:cs="Century Gothic"/>
          <w:color w:val="000000"/>
          <w:sz w:val="21"/>
          <w:szCs w:val="21"/>
          <w:lang w:val="es-PR"/>
        </w:rPr>
        <w:t xml:space="preserve">, hacen un uso eficiente de la </w:t>
      </w:r>
      <w:r w:rsidRPr="007B1E22">
        <w:rPr>
          <w:rFonts w:ascii="Century Gothic" w:hAnsi="Century Gothic" w:cs="Century Gothic"/>
          <w:i/>
          <w:color w:val="000000"/>
          <w:sz w:val="21"/>
          <w:szCs w:val="21"/>
          <w:lang w:val="es-PR"/>
        </w:rPr>
        <w:t>energía y el agua</w:t>
      </w:r>
      <w:r w:rsidRPr="007B1E22">
        <w:rPr>
          <w:rFonts w:ascii="Century Gothic" w:hAnsi="Century Gothic" w:cs="Century Gothic"/>
          <w:color w:val="000000"/>
          <w:sz w:val="21"/>
          <w:szCs w:val="21"/>
          <w:lang w:val="es-PR"/>
        </w:rPr>
        <w:t xml:space="preserve">, limitando la </w:t>
      </w:r>
      <w:r w:rsidRPr="007B1E22">
        <w:rPr>
          <w:rFonts w:ascii="Century Gothic" w:hAnsi="Century Gothic" w:cs="Century Gothic"/>
          <w:i/>
          <w:color w:val="000000"/>
          <w:sz w:val="21"/>
          <w:szCs w:val="21"/>
          <w:lang w:val="es-PR"/>
        </w:rPr>
        <w:t>producción de desechos y las emisiones</w:t>
      </w:r>
      <w:r w:rsidRPr="007B1E22">
        <w:rPr>
          <w:rFonts w:ascii="Century Gothic" w:hAnsi="Century Gothic" w:cs="Century Gothic"/>
          <w:color w:val="000000"/>
          <w:sz w:val="21"/>
          <w:szCs w:val="21"/>
          <w:lang w:val="es-PR"/>
        </w:rPr>
        <w:t xml:space="preserve">, y haciendo uso del </w:t>
      </w:r>
      <w:r w:rsidRPr="007B1E22">
        <w:rPr>
          <w:rFonts w:ascii="Century Gothic" w:hAnsi="Century Gothic" w:cs="Century Gothic"/>
          <w:i/>
          <w:color w:val="000000"/>
          <w:sz w:val="21"/>
          <w:szCs w:val="21"/>
          <w:lang w:val="es-PR"/>
        </w:rPr>
        <w:t>reciclaje</w:t>
      </w:r>
      <w:r w:rsidRPr="007B1E22">
        <w:rPr>
          <w:rFonts w:ascii="Century Gothic" w:hAnsi="Century Gothic" w:cs="Century Gothic"/>
          <w:color w:val="000000"/>
          <w:sz w:val="21"/>
          <w:szCs w:val="21"/>
          <w:lang w:val="es-PR"/>
        </w:rPr>
        <w:t>”.</w:t>
      </w:r>
      <w:r w:rsidRPr="007B1E22">
        <w:rPr>
          <w:rFonts w:ascii="Century Gothic" w:hAnsi="Century Gothic"/>
          <w:color w:val="000000"/>
          <w:sz w:val="21"/>
          <w:szCs w:val="21"/>
          <w:lang w:val="es-PR"/>
        </w:rPr>
        <w:t xml:space="preserve"> </w:t>
      </w:r>
      <w:sdt>
        <w:sdtPr>
          <w:rPr>
            <w:rFonts w:ascii="Century Gothic" w:hAnsi="Century Gothic"/>
            <w:color w:val="000000"/>
            <w:sz w:val="21"/>
            <w:szCs w:val="21"/>
            <w:lang w:val="es-PR"/>
          </w:rPr>
          <w:id w:val="749939941"/>
          <w:citation/>
        </w:sdtPr>
        <w:sdtEndPr/>
        <w:sdtContent>
          <w:r w:rsidRPr="007B1E22">
            <w:rPr>
              <w:rFonts w:ascii="Century Gothic" w:hAnsi="Century Gothic"/>
              <w:color w:val="000000"/>
              <w:sz w:val="21"/>
              <w:szCs w:val="21"/>
              <w:lang w:val="es-PR"/>
            </w:rPr>
            <w:fldChar w:fldCharType="begin"/>
          </w:r>
          <w:r w:rsidRPr="007B1E22">
            <w:rPr>
              <w:rFonts w:ascii="Century Gothic" w:hAnsi="Century Gothic"/>
              <w:color w:val="000000"/>
              <w:sz w:val="21"/>
              <w:szCs w:val="21"/>
              <w:lang w:val="es-PR"/>
            </w:rPr>
            <w:instrText xml:space="preserve">CITATION Cer17 \p 12 \l 20490 </w:instrText>
          </w:r>
          <w:r w:rsidRPr="007B1E22">
            <w:rPr>
              <w:rFonts w:ascii="Century Gothic" w:hAnsi="Century Gothic"/>
              <w:color w:val="000000"/>
              <w:sz w:val="21"/>
              <w:szCs w:val="21"/>
              <w:lang w:val="es-PR"/>
            </w:rPr>
            <w:fldChar w:fldCharType="separate"/>
          </w:r>
          <w:r w:rsidR="000A66AF" w:rsidRPr="000A66AF">
            <w:rPr>
              <w:rFonts w:ascii="Century Gothic" w:hAnsi="Century Gothic"/>
              <w:noProof/>
              <w:color w:val="000000"/>
              <w:sz w:val="21"/>
              <w:szCs w:val="21"/>
              <w:lang w:val="es-PR"/>
            </w:rPr>
            <w:t>(Cervera-Ferri &amp; Ureña, 2017, pág. 12)</w:t>
          </w:r>
          <w:r w:rsidRPr="007B1E22">
            <w:rPr>
              <w:rFonts w:ascii="Century Gothic" w:hAnsi="Century Gothic"/>
              <w:color w:val="000000"/>
              <w:sz w:val="21"/>
              <w:szCs w:val="21"/>
              <w:lang w:val="es-PR"/>
            </w:rPr>
            <w:fldChar w:fldCharType="end"/>
          </w:r>
        </w:sdtContent>
      </w:sdt>
      <w:r w:rsidRPr="007B1E22">
        <w:rPr>
          <w:rStyle w:val="Refdenotaalpie"/>
          <w:rFonts w:ascii="Century Gothic" w:hAnsi="Century Gothic"/>
          <w:color w:val="000000"/>
          <w:sz w:val="21"/>
          <w:szCs w:val="21"/>
          <w:lang w:val="es-PR"/>
        </w:rPr>
        <w:footnoteReference w:id="3"/>
      </w:r>
      <w:r w:rsidRPr="007B1E22">
        <w:rPr>
          <w:rFonts w:ascii="Century Gothic" w:hAnsi="Century Gothic" w:cs="Century Gothic"/>
          <w:color w:val="000000"/>
          <w:sz w:val="21"/>
          <w:szCs w:val="21"/>
          <w:lang w:val="es-PR"/>
        </w:rPr>
        <w:t xml:space="preserve"> </w:t>
      </w:r>
    </w:p>
    <w:p w14:paraId="23A60E4C" w14:textId="77777777" w:rsidR="00646F55" w:rsidRPr="007B1E22" w:rsidRDefault="00646F55" w:rsidP="00646F55">
      <w:pPr>
        <w:jc w:val="both"/>
        <w:rPr>
          <w:rFonts w:ascii="Century Gothic" w:hAnsi="Century Gothic"/>
          <w:color w:val="000000"/>
          <w:sz w:val="21"/>
          <w:szCs w:val="21"/>
          <w:lang w:val="es-PR"/>
        </w:rPr>
      </w:pPr>
    </w:p>
    <w:p w14:paraId="347F4BF5" w14:textId="77777777" w:rsidR="00646F55" w:rsidRPr="007B1E22" w:rsidRDefault="00646F55" w:rsidP="00646F55">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Este enfoque estructurado del PNUMA para el estudio de la relación entre los fenómenos sociales, económicos y ambientales de la sociedad abarca un componente que se refiere justamente al sector productivo, denominado “</w:t>
      </w:r>
      <w:r w:rsidRPr="007B1E22">
        <w:rPr>
          <w:rFonts w:ascii="Century Gothic" w:hAnsi="Century Gothic"/>
          <w:b/>
          <w:color w:val="538135" w:themeColor="accent6" w:themeShade="BF"/>
          <w:sz w:val="21"/>
          <w:szCs w:val="21"/>
          <w:lang w:val="es-PR"/>
        </w:rPr>
        <w:t>Producción Verde</w:t>
      </w:r>
      <w:r w:rsidRPr="007B1E22">
        <w:rPr>
          <w:rFonts w:ascii="Century Gothic" w:hAnsi="Century Gothic"/>
          <w:color w:val="000000"/>
          <w:sz w:val="21"/>
          <w:szCs w:val="21"/>
          <w:lang w:val="es-PR"/>
        </w:rPr>
        <w:t>”, consistente en el accionar productivo tendiente a la consecución de una “</w:t>
      </w:r>
      <w:r w:rsidRPr="007B1E22">
        <w:rPr>
          <w:rFonts w:ascii="Century Gothic" w:hAnsi="Century Gothic"/>
          <w:b/>
          <w:color w:val="538135" w:themeColor="accent6" w:themeShade="BF"/>
          <w:sz w:val="21"/>
          <w:szCs w:val="21"/>
          <w:lang w:val="es-PR"/>
        </w:rPr>
        <w:t>Economía Verde</w:t>
      </w:r>
      <w:r w:rsidRPr="007B1E22">
        <w:rPr>
          <w:rFonts w:ascii="Century Gothic" w:hAnsi="Century Gothic"/>
          <w:color w:val="000000"/>
          <w:sz w:val="21"/>
          <w:szCs w:val="21"/>
          <w:lang w:val="es-PR"/>
        </w:rPr>
        <w:t>”.</w:t>
      </w:r>
    </w:p>
    <w:p w14:paraId="1291C163" w14:textId="77777777" w:rsidR="00646F55" w:rsidRPr="007B1E22" w:rsidRDefault="00646F55" w:rsidP="00646F55">
      <w:pPr>
        <w:jc w:val="both"/>
        <w:rPr>
          <w:rFonts w:ascii="Century Gothic" w:hAnsi="Century Gothic"/>
          <w:color w:val="000000"/>
          <w:sz w:val="21"/>
          <w:szCs w:val="21"/>
          <w:lang w:val="es-PR"/>
        </w:rPr>
      </w:pPr>
    </w:p>
    <w:p w14:paraId="7CB49C19" w14:textId="2F6EA83D" w:rsidR="00646F55" w:rsidRDefault="00646F55" w:rsidP="00646F55">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Desde un punto de vista epistémico, se puede entender a la “</w:t>
      </w:r>
      <w:r w:rsidRPr="007B1E22">
        <w:rPr>
          <w:rFonts w:ascii="Century Gothic" w:hAnsi="Century Gothic"/>
          <w:b/>
          <w:color w:val="538135" w:themeColor="accent6" w:themeShade="BF"/>
          <w:sz w:val="21"/>
          <w:szCs w:val="21"/>
          <w:lang w:val="es-PR"/>
        </w:rPr>
        <w:t>Producción Verde</w:t>
      </w:r>
      <w:r w:rsidRPr="007B1E22">
        <w:rPr>
          <w:rFonts w:ascii="Century Gothic" w:hAnsi="Century Gothic"/>
          <w:color w:val="000000"/>
          <w:sz w:val="21"/>
          <w:szCs w:val="21"/>
          <w:lang w:val="es-PR"/>
        </w:rPr>
        <w:t>” como a una subcategoría conceptual del sistema conceptual categórico “</w:t>
      </w:r>
      <w:r w:rsidRPr="007B1E22">
        <w:rPr>
          <w:rFonts w:ascii="Century Gothic" w:hAnsi="Century Gothic"/>
          <w:b/>
          <w:color w:val="538135" w:themeColor="accent6" w:themeShade="BF"/>
          <w:sz w:val="21"/>
          <w:szCs w:val="21"/>
          <w:lang w:val="es-PR"/>
        </w:rPr>
        <w:t>Economía Verde</w:t>
      </w:r>
      <w:r w:rsidRPr="007B1E22">
        <w:rPr>
          <w:rFonts w:ascii="Century Gothic" w:hAnsi="Century Gothic"/>
          <w:color w:val="000000"/>
          <w:sz w:val="21"/>
          <w:szCs w:val="21"/>
          <w:lang w:val="es-PR"/>
        </w:rPr>
        <w:t xml:space="preserve">”. En la Figura 1 se muestra la relación </w:t>
      </w:r>
      <w:r w:rsidRPr="007B1E22">
        <w:rPr>
          <w:rFonts w:ascii="Century Gothic" w:hAnsi="Century Gothic"/>
          <w:color w:val="000000"/>
          <w:sz w:val="21"/>
          <w:szCs w:val="21"/>
          <w:lang w:val="es-PR"/>
        </w:rPr>
        <w:t>ontológica entre estos conceptos / categorías:</w:t>
      </w:r>
    </w:p>
    <w:p w14:paraId="4338FE35" w14:textId="77777777" w:rsidR="009F7715" w:rsidRPr="007B1E22" w:rsidRDefault="009F7715" w:rsidP="00646F55">
      <w:pPr>
        <w:jc w:val="both"/>
        <w:rPr>
          <w:rFonts w:ascii="Century Gothic" w:hAnsi="Century Gothic"/>
          <w:color w:val="000000"/>
          <w:sz w:val="21"/>
          <w:szCs w:val="21"/>
          <w:lang w:val="es-PR"/>
        </w:rPr>
      </w:pPr>
    </w:p>
    <w:p w14:paraId="2AB38F08" w14:textId="77777777" w:rsidR="00646F55" w:rsidRPr="00646F55" w:rsidRDefault="00646F55" w:rsidP="00646F55">
      <w:pPr>
        <w:pStyle w:val="Descripcin"/>
        <w:jc w:val="both"/>
        <w:rPr>
          <w:rFonts w:cs="Calibri"/>
          <w:color w:val="595959" w:themeColor="text1" w:themeTint="A6"/>
        </w:rPr>
      </w:pPr>
      <w:bookmarkStart w:id="2" w:name="_Toc132722354"/>
      <w:r w:rsidRPr="00646F55">
        <w:rPr>
          <w:b/>
          <w:bCs/>
          <w:i w:val="0"/>
          <w:iCs w:val="0"/>
          <w:color w:val="auto"/>
          <w:sz w:val="16"/>
        </w:rPr>
        <w:t xml:space="preserve">Figura </w:t>
      </w:r>
      <w:r w:rsidRPr="00646F55">
        <w:rPr>
          <w:b/>
          <w:bCs/>
          <w:i w:val="0"/>
          <w:iCs w:val="0"/>
          <w:color w:val="auto"/>
          <w:sz w:val="16"/>
        </w:rPr>
        <w:fldChar w:fldCharType="begin"/>
      </w:r>
      <w:r w:rsidRPr="00646F55">
        <w:rPr>
          <w:b/>
          <w:bCs/>
          <w:i w:val="0"/>
          <w:iCs w:val="0"/>
          <w:color w:val="auto"/>
          <w:sz w:val="16"/>
        </w:rPr>
        <w:instrText xml:space="preserve"> SEQ Figura \* ARABIC </w:instrText>
      </w:r>
      <w:r w:rsidRPr="00646F55">
        <w:rPr>
          <w:b/>
          <w:bCs/>
          <w:i w:val="0"/>
          <w:iCs w:val="0"/>
          <w:color w:val="auto"/>
          <w:sz w:val="16"/>
        </w:rPr>
        <w:fldChar w:fldCharType="separate"/>
      </w:r>
      <w:r w:rsidRPr="00646F55">
        <w:rPr>
          <w:b/>
          <w:bCs/>
          <w:i w:val="0"/>
          <w:iCs w:val="0"/>
          <w:noProof/>
          <w:color w:val="auto"/>
          <w:sz w:val="16"/>
        </w:rPr>
        <w:t>1</w:t>
      </w:r>
      <w:r w:rsidRPr="00646F55">
        <w:rPr>
          <w:b/>
          <w:bCs/>
          <w:i w:val="0"/>
          <w:iCs w:val="0"/>
          <w:color w:val="auto"/>
          <w:sz w:val="16"/>
        </w:rPr>
        <w:fldChar w:fldCharType="end"/>
      </w:r>
      <w:r w:rsidRPr="00646F55">
        <w:rPr>
          <w:b/>
          <w:bCs/>
          <w:i w:val="0"/>
          <w:iCs w:val="0"/>
          <w:color w:val="auto"/>
          <w:sz w:val="16"/>
        </w:rPr>
        <w:t>.</w:t>
      </w:r>
      <w:r w:rsidRPr="00646F55">
        <w:rPr>
          <w:rFonts w:cs="Calibri"/>
          <w:color w:val="595959" w:themeColor="text1" w:themeTint="A6"/>
          <w:sz w:val="16"/>
        </w:rPr>
        <w:t xml:space="preserve"> </w:t>
      </w:r>
      <w:r w:rsidRPr="00646F55">
        <w:rPr>
          <w:rFonts w:cs="Calibri"/>
          <w:i w:val="0"/>
          <w:color w:val="auto"/>
          <w:sz w:val="16"/>
        </w:rPr>
        <w:t>Marco conceptual para la medición de la producción verde, dentro del ámbito de la Economía Verde.</w:t>
      </w:r>
      <w:bookmarkEnd w:id="2"/>
    </w:p>
    <w:p w14:paraId="4582F687" w14:textId="77777777" w:rsidR="00646F55" w:rsidRPr="00646F55" w:rsidRDefault="00646F55" w:rsidP="00646F55">
      <w:pPr>
        <w:jc w:val="both"/>
        <w:rPr>
          <w:rFonts w:ascii="Century Gothic" w:hAnsi="Century Gothic"/>
          <w:color w:val="000000"/>
          <w:sz w:val="20"/>
          <w:szCs w:val="20"/>
          <w:lang w:val="es-PR"/>
        </w:rPr>
      </w:pPr>
      <w:r w:rsidRPr="00646F55">
        <w:rPr>
          <w:rFonts w:ascii="Century Gothic" w:hAnsi="Century Gothic"/>
          <w:noProof/>
          <w:color w:val="000000"/>
          <w:sz w:val="20"/>
          <w:szCs w:val="20"/>
          <w:lang w:eastAsia="es-EC"/>
        </w:rPr>
        <w:drawing>
          <wp:inline distT="0" distB="0" distL="0" distR="0" wp14:anchorId="14B1FA9C" wp14:editId="0AE7F3A4">
            <wp:extent cx="2463800" cy="2260600"/>
            <wp:effectExtent l="0" t="0" r="0" b="635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3800" cy="2260600"/>
                    </a:xfrm>
                    <a:prstGeom prst="rect">
                      <a:avLst/>
                    </a:prstGeom>
                    <a:noFill/>
                    <a:ln>
                      <a:noFill/>
                    </a:ln>
                  </pic:spPr>
                </pic:pic>
              </a:graphicData>
            </a:graphic>
          </wp:inline>
        </w:drawing>
      </w:r>
    </w:p>
    <w:p w14:paraId="4C3883F7" w14:textId="77777777" w:rsidR="00646F55" w:rsidRPr="00646F55" w:rsidRDefault="00646F55" w:rsidP="00646F55">
      <w:pPr>
        <w:jc w:val="both"/>
        <w:rPr>
          <w:rFonts w:ascii="Century Gothic" w:hAnsi="Century Gothic" w:cs="Calibri"/>
          <w:b/>
          <w:color w:val="404040" w:themeColor="text1" w:themeTint="BF"/>
          <w:sz w:val="14"/>
          <w:szCs w:val="14"/>
        </w:rPr>
      </w:pPr>
    </w:p>
    <w:p w14:paraId="2F2B7C4A" w14:textId="77777777"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 xml:space="preserve">Notas: </w:t>
      </w:r>
      <w:r w:rsidRPr="00646F55">
        <w:rPr>
          <w:rFonts w:ascii="Century Gothic" w:hAnsi="Century Gothic" w:cs="Calibri"/>
          <w:color w:val="404040" w:themeColor="text1" w:themeTint="BF"/>
          <w:sz w:val="14"/>
          <w:szCs w:val="14"/>
        </w:rPr>
        <w:t>Los flujos de materias primas, ahorros y productos avanzan en el tiempo de abajo hacia arriba.</w:t>
      </w:r>
    </w:p>
    <w:p w14:paraId="324BE964" w14:textId="1D8E030E"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Fuente:</w:t>
      </w:r>
      <w:r w:rsidRPr="00646F55">
        <w:rPr>
          <w:rFonts w:ascii="Century Gothic" w:hAnsi="Century Gothic" w:cs="Calibri"/>
          <w:color w:val="404040" w:themeColor="text1" w:themeTint="BF"/>
          <w:sz w:val="14"/>
          <w:szCs w:val="14"/>
        </w:rPr>
        <w:t xml:space="preserve"> </w:t>
      </w:r>
      <w:sdt>
        <w:sdtPr>
          <w:rPr>
            <w:rFonts w:ascii="Century Gothic" w:hAnsi="Century Gothic"/>
            <w:color w:val="000000"/>
            <w:sz w:val="16"/>
            <w:szCs w:val="20"/>
            <w:lang w:val="es-PR"/>
          </w:rPr>
          <w:id w:val="926079437"/>
          <w:citation/>
        </w:sdtPr>
        <w:sdtEndPr>
          <w:rPr>
            <w:sz w:val="14"/>
          </w:rPr>
        </w:sdtEndPr>
        <w:sdtContent>
          <w:r w:rsidRPr="00646F55">
            <w:rPr>
              <w:rFonts w:ascii="Century Gothic" w:hAnsi="Century Gothic"/>
              <w:color w:val="000000"/>
              <w:sz w:val="14"/>
              <w:szCs w:val="20"/>
              <w:lang w:val="es-PR"/>
            </w:rPr>
            <w:fldChar w:fldCharType="begin"/>
          </w:r>
          <w:r w:rsidRPr="00646F55">
            <w:rPr>
              <w:rFonts w:ascii="Century Gothic" w:hAnsi="Century Gothic"/>
              <w:color w:val="000000"/>
              <w:sz w:val="14"/>
              <w:szCs w:val="20"/>
              <w:lang w:val="es-PR"/>
            </w:rPr>
            <w:instrText xml:space="preserve">CITATION Cer17 \p 13 \l 20490 </w:instrText>
          </w:r>
          <w:r w:rsidRPr="00646F55">
            <w:rPr>
              <w:rFonts w:ascii="Century Gothic" w:hAnsi="Century Gothic"/>
              <w:color w:val="000000"/>
              <w:sz w:val="14"/>
              <w:szCs w:val="20"/>
              <w:lang w:val="es-PR"/>
            </w:rPr>
            <w:fldChar w:fldCharType="separate"/>
          </w:r>
          <w:r w:rsidR="000A66AF" w:rsidRPr="000A66AF">
            <w:rPr>
              <w:rFonts w:ascii="Century Gothic" w:hAnsi="Century Gothic"/>
              <w:noProof/>
              <w:color w:val="000000"/>
              <w:sz w:val="14"/>
              <w:szCs w:val="20"/>
              <w:lang w:val="es-PR"/>
            </w:rPr>
            <w:t>(Cervera-Ferri &amp; Ureña, 2017, pág. 13)</w:t>
          </w:r>
          <w:r w:rsidRPr="00646F55">
            <w:rPr>
              <w:rFonts w:ascii="Century Gothic" w:hAnsi="Century Gothic"/>
              <w:color w:val="000000"/>
              <w:sz w:val="14"/>
              <w:szCs w:val="20"/>
              <w:lang w:val="es-PR"/>
            </w:rPr>
            <w:fldChar w:fldCharType="end"/>
          </w:r>
        </w:sdtContent>
      </w:sdt>
      <w:r w:rsidRPr="00646F55">
        <w:rPr>
          <w:rFonts w:ascii="Century Gothic" w:hAnsi="Century Gothic" w:cs="Calibri"/>
          <w:color w:val="404040" w:themeColor="text1" w:themeTint="BF"/>
          <w:sz w:val="14"/>
          <w:szCs w:val="14"/>
        </w:rPr>
        <w:t>.</w:t>
      </w:r>
    </w:p>
    <w:p w14:paraId="2545783F" w14:textId="77777777" w:rsidR="00646F55" w:rsidRPr="00646F55" w:rsidRDefault="00646F55" w:rsidP="00646F55">
      <w:pPr>
        <w:jc w:val="both"/>
        <w:rPr>
          <w:rFonts w:ascii="Century Gothic" w:hAnsi="Century Gothic"/>
          <w:color w:val="000000"/>
          <w:sz w:val="20"/>
          <w:szCs w:val="20"/>
          <w:lang w:val="es-PR"/>
        </w:rPr>
      </w:pPr>
    </w:p>
    <w:p w14:paraId="7522D755" w14:textId="77777777" w:rsidR="00646F55" w:rsidRPr="007B1E22" w:rsidRDefault="00646F55" w:rsidP="00646F55">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La Figura 1 no es sino un esquema de operación de una “</w:t>
      </w:r>
      <w:r w:rsidRPr="007B1E22">
        <w:rPr>
          <w:rFonts w:ascii="Century Gothic" w:hAnsi="Century Gothic"/>
          <w:b/>
          <w:color w:val="538135" w:themeColor="accent6" w:themeShade="BF"/>
          <w:sz w:val="21"/>
          <w:szCs w:val="21"/>
          <w:lang w:val="es-PR"/>
        </w:rPr>
        <w:t>Economía Verde</w:t>
      </w:r>
      <w:r w:rsidRPr="007B1E22">
        <w:rPr>
          <w:rFonts w:ascii="Century Gothic" w:hAnsi="Century Gothic"/>
          <w:color w:val="000000"/>
          <w:sz w:val="21"/>
          <w:szCs w:val="21"/>
          <w:lang w:val="es-PR"/>
        </w:rPr>
        <w:t>”. La “</w:t>
      </w:r>
      <w:r w:rsidRPr="007B1E22">
        <w:rPr>
          <w:rFonts w:ascii="Century Gothic" w:hAnsi="Century Gothic"/>
          <w:b/>
          <w:color w:val="538135" w:themeColor="accent6" w:themeShade="BF"/>
          <w:sz w:val="21"/>
          <w:szCs w:val="21"/>
          <w:lang w:val="es-PR"/>
        </w:rPr>
        <w:t>Producción Verde</w:t>
      </w:r>
      <w:r w:rsidRPr="007B1E22">
        <w:rPr>
          <w:rFonts w:ascii="Century Gothic" w:hAnsi="Century Gothic"/>
          <w:color w:val="000000"/>
          <w:sz w:val="21"/>
          <w:szCs w:val="21"/>
          <w:lang w:val="es-PR"/>
        </w:rPr>
        <w:t xml:space="preserve">” –delimitada por la línea verde discontinua- abarca los procesos productivos de esta economía. En la frontera con el contexto socioeconómico se encuentran las </w:t>
      </w:r>
      <w:r w:rsidRPr="007B1E22">
        <w:rPr>
          <w:rFonts w:ascii="Century Gothic" w:hAnsi="Century Gothic"/>
          <w:i/>
          <w:color w:val="000000"/>
          <w:sz w:val="21"/>
          <w:szCs w:val="21"/>
          <w:lang w:val="es-PR"/>
        </w:rPr>
        <w:t>Dimensiones ambientales de la calidad de vida</w:t>
      </w:r>
      <w:r w:rsidRPr="007B1E22">
        <w:rPr>
          <w:rFonts w:ascii="Century Gothic" w:hAnsi="Century Gothic"/>
          <w:color w:val="000000"/>
          <w:sz w:val="21"/>
          <w:szCs w:val="21"/>
          <w:lang w:val="es-PR"/>
        </w:rPr>
        <w:t>, entre ellas el nivel de contaminación del aire y aguas superficiales generada en los procesos productivos. En el interior de la “</w:t>
      </w:r>
      <w:r w:rsidRPr="007B1E22">
        <w:rPr>
          <w:rFonts w:ascii="Century Gothic" w:hAnsi="Century Gothic"/>
          <w:b/>
          <w:color w:val="538135" w:themeColor="accent6" w:themeShade="BF"/>
          <w:sz w:val="21"/>
          <w:szCs w:val="21"/>
          <w:lang w:val="es-PR"/>
        </w:rPr>
        <w:t>Producción Verde</w:t>
      </w:r>
      <w:r w:rsidRPr="007B1E22">
        <w:rPr>
          <w:rFonts w:ascii="Century Gothic" w:hAnsi="Century Gothic"/>
          <w:color w:val="000000"/>
          <w:sz w:val="21"/>
          <w:szCs w:val="21"/>
          <w:lang w:val="es-PR"/>
        </w:rPr>
        <w:t xml:space="preserve">” se halla la </w:t>
      </w:r>
      <w:r w:rsidRPr="007B1E22">
        <w:rPr>
          <w:rFonts w:ascii="Century Gothic" w:hAnsi="Century Gothic"/>
          <w:i/>
          <w:color w:val="000000"/>
          <w:sz w:val="21"/>
          <w:szCs w:val="21"/>
          <w:lang w:val="es-PR"/>
        </w:rPr>
        <w:t>Productividad e Intensidad Medioambiental y de los Recursos</w:t>
      </w:r>
      <w:r w:rsidRPr="007B1E22">
        <w:rPr>
          <w:rFonts w:ascii="Century Gothic" w:hAnsi="Century Gothic"/>
          <w:color w:val="000000"/>
          <w:sz w:val="21"/>
          <w:szCs w:val="21"/>
          <w:lang w:val="es-PR"/>
        </w:rPr>
        <w:t xml:space="preserve">, </w:t>
      </w:r>
      <w:r w:rsidRPr="007B1E22">
        <w:rPr>
          <w:rFonts w:ascii="Century Gothic" w:hAnsi="Century Gothic"/>
          <w:color w:val="000000"/>
          <w:sz w:val="21"/>
          <w:szCs w:val="21"/>
          <w:lang w:val="es-PR"/>
        </w:rPr>
        <w:lastRenderedPageBreak/>
        <w:t xml:space="preserve">como pueden ser la intensidad de uso de agua o de energía por unidad de Valor Agregado Bruto. También existen una serie de </w:t>
      </w:r>
      <w:r w:rsidRPr="007B1E22">
        <w:rPr>
          <w:rFonts w:ascii="Century Gothic" w:hAnsi="Century Gothic"/>
          <w:i/>
          <w:color w:val="000000"/>
          <w:sz w:val="21"/>
          <w:szCs w:val="21"/>
          <w:lang w:val="es-PR"/>
        </w:rPr>
        <w:t>Oportunidades Económicas</w:t>
      </w:r>
      <w:r w:rsidRPr="007B1E22">
        <w:rPr>
          <w:rFonts w:ascii="Century Gothic" w:hAnsi="Century Gothic"/>
          <w:color w:val="000000"/>
          <w:sz w:val="21"/>
          <w:szCs w:val="21"/>
          <w:lang w:val="es-PR"/>
        </w:rPr>
        <w:t xml:space="preserve"> que brindan los procesos productivos así definidos como “verdes”, como son la competitividad y la autodefinición de empresa como “verde” o “sostenible”, con implicaciones en dominio de mercados. A esto se agrega la existencia de flujos de información y de restricciones normativas del ámbito socioeconómico, como las leyes ambientales y laborales que restringen el accionar empresarial a lo estrictamente necesario e importante para la consecución de una “</w:t>
      </w:r>
      <w:r w:rsidRPr="007B1E22">
        <w:rPr>
          <w:rFonts w:ascii="Century Gothic" w:hAnsi="Century Gothic"/>
          <w:b/>
          <w:color w:val="538135" w:themeColor="accent6" w:themeShade="BF"/>
          <w:sz w:val="21"/>
          <w:szCs w:val="21"/>
          <w:lang w:val="es-PR"/>
        </w:rPr>
        <w:t>Economía Verde</w:t>
      </w:r>
      <w:r w:rsidRPr="007B1E22">
        <w:rPr>
          <w:rFonts w:ascii="Century Gothic" w:hAnsi="Century Gothic"/>
          <w:color w:val="000000"/>
          <w:sz w:val="21"/>
          <w:szCs w:val="21"/>
          <w:lang w:val="es-PR"/>
        </w:rPr>
        <w:t>”.</w:t>
      </w:r>
    </w:p>
    <w:p w14:paraId="54ABDEE6" w14:textId="77777777" w:rsidR="00646F55" w:rsidRPr="007B1E22" w:rsidRDefault="00646F55" w:rsidP="00646F55">
      <w:pPr>
        <w:jc w:val="both"/>
        <w:rPr>
          <w:rFonts w:ascii="Century Gothic" w:hAnsi="Century Gothic"/>
          <w:color w:val="000000"/>
          <w:sz w:val="21"/>
          <w:szCs w:val="21"/>
          <w:lang w:val="es-PR"/>
        </w:rPr>
      </w:pPr>
    </w:p>
    <w:p w14:paraId="609303AE" w14:textId="77777777" w:rsidR="00646F55" w:rsidRPr="007B1E22" w:rsidRDefault="00646F55" w:rsidP="00646F55">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Este modelo conceptual contempla una rica metodología que incluye definiciones de conceptos, temas, ámbitos, métricas y formas de levantamiento de información económico-ambiental coherente.</w:t>
      </w:r>
    </w:p>
    <w:p w14:paraId="03011A28" w14:textId="77777777" w:rsidR="00646F55" w:rsidRPr="007B1E22" w:rsidRDefault="00646F55" w:rsidP="00646F55">
      <w:pPr>
        <w:jc w:val="both"/>
        <w:rPr>
          <w:rFonts w:ascii="Century Gothic" w:hAnsi="Century Gothic"/>
          <w:color w:val="000000"/>
          <w:sz w:val="21"/>
          <w:szCs w:val="21"/>
          <w:lang w:val="es-PR"/>
        </w:rPr>
      </w:pPr>
    </w:p>
    <w:p w14:paraId="5C55323E" w14:textId="7ED20B30" w:rsidR="00646F55" w:rsidRPr="007B1E22" w:rsidRDefault="00646F55" w:rsidP="00646F55">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El Módulo Ambiental</w:t>
      </w:r>
      <w:r w:rsidR="00EA58B3">
        <w:rPr>
          <w:rFonts w:ascii="Century Gothic" w:hAnsi="Century Gothic"/>
          <w:color w:val="000000"/>
          <w:sz w:val="21"/>
          <w:szCs w:val="21"/>
          <w:lang w:val="es-PR"/>
        </w:rPr>
        <w:t xml:space="preserve"> Económica</w:t>
      </w:r>
      <w:r w:rsidRPr="007B1E22">
        <w:rPr>
          <w:rFonts w:ascii="Century Gothic" w:hAnsi="Century Gothic"/>
          <w:color w:val="000000"/>
          <w:sz w:val="21"/>
          <w:szCs w:val="21"/>
          <w:lang w:val="es-PR"/>
        </w:rPr>
        <w:t xml:space="preserve"> de la Encuesta Estructural Empresarial (MA</w:t>
      </w:r>
      <w:r w:rsidR="00EA58B3">
        <w:rPr>
          <w:rFonts w:ascii="Century Gothic" w:hAnsi="Century Gothic"/>
          <w:color w:val="000000"/>
          <w:sz w:val="21"/>
          <w:szCs w:val="21"/>
          <w:lang w:val="es-PR"/>
        </w:rPr>
        <w:t>E</w:t>
      </w:r>
      <w:r w:rsidRPr="007B1E22">
        <w:rPr>
          <w:rFonts w:ascii="Century Gothic" w:hAnsi="Century Gothic"/>
          <w:color w:val="000000"/>
          <w:sz w:val="21"/>
          <w:szCs w:val="21"/>
          <w:lang w:val="es-PR"/>
        </w:rPr>
        <w:t>-ENESEM) se alinea con este marco conceptual y metodológico del PNUMA para su rediseño y desarrollo, debido a las siguientes razones:</w:t>
      </w:r>
    </w:p>
    <w:p w14:paraId="4B7559D4" w14:textId="77777777" w:rsidR="00646F55" w:rsidRPr="007B1E22" w:rsidRDefault="00646F55" w:rsidP="00646F55">
      <w:pPr>
        <w:jc w:val="both"/>
        <w:rPr>
          <w:rFonts w:ascii="Century Gothic" w:hAnsi="Century Gothic"/>
          <w:color w:val="000000"/>
          <w:sz w:val="21"/>
          <w:szCs w:val="21"/>
          <w:lang w:val="es-PR"/>
        </w:rPr>
      </w:pPr>
    </w:p>
    <w:p w14:paraId="7003FAAC" w14:textId="77777777" w:rsidR="00646F55" w:rsidRPr="007B1E22" w:rsidRDefault="00646F55" w:rsidP="00646F55">
      <w:pPr>
        <w:pStyle w:val="Prrafodelista"/>
        <w:numPr>
          <w:ilvl w:val="0"/>
          <w:numId w:val="10"/>
        </w:numPr>
        <w:jc w:val="both"/>
        <w:rPr>
          <w:rFonts w:ascii="Century Gothic" w:hAnsi="Century Gothic"/>
          <w:color w:val="000000"/>
          <w:sz w:val="21"/>
          <w:szCs w:val="21"/>
          <w:lang w:val="es-PR"/>
        </w:rPr>
      </w:pPr>
      <w:r w:rsidRPr="007B1E22">
        <w:rPr>
          <w:rFonts w:ascii="Century Gothic" w:hAnsi="Century Gothic"/>
          <w:color w:val="000000"/>
          <w:sz w:val="21"/>
          <w:szCs w:val="21"/>
          <w:lang w:val="es-PR"/>
        </w:rPr>
        <w:t>En un proceso consultivo en el cual participaron técnicos de varias Oficinas Nacionales de Estadística –incluyendo a representantes del INEC-, se definió un Sistema de Indicadores de Producción Verde (SIPV) para evaluar las diferentes temáticas y dimensiones asociadas con la “</w:t>
      </w:r>
      <w:r w:rsidRPr="007B1E22">
        <w:rPr>
          <w:rFonts w:ascii="Century Gothic" w:hAnsi="Century Gothic"/>
          <w:b/>
          <w:color w:val="538135" w:themeColor="accent6" w:themeShade="BF"/>
          <w:sz w:val="21"/>
          <w:szCs w:val="21"/>
          <w:lang w:val="es-PR"/>
        </w:rPr>
        <w:t>Producción Verde</w:t>
      </w:r>
      <w:r w:rsidRPr="007B1E22">
        <w:rPr>
          <w:rFonts w:ascii="Century Gothic" w:hAnsi="Century Gothic"/>
          <w:color w:val="000000"/>
          <w:sz w:val="21"/>
          <w:szCs w:val="21"/>
          <w:lang w:val="es-PR"/>
        </w:rPr>
        <w:t>” como se definió anteriormente</w:t>
      </w:r>
      <w:r w:rsidRPr="007B1E22">
        <w:rPr>
          <w:rStyle w:val="Refdenotaalpie"/>
          <w:rFonts w:ascii="Century Gothic" w:hAnsi="Century Gothic"/>
          <w:color w:val="000000"/>
          <w:sz w:val="21"/>
          <w:szCs w:val="21"/>
          <w:lang w:val="es-PR"/>
        </w:rPr>
        <w:footnoteReference w:id="4"/>
      </w:r>
      <w:r w:rsidRPr="007B1E22">
        <w:rPr>
          <w:rFonts w:ascii="Century Gothic" w:hAnsi="Century Gothic"/>
          <w:color w:val="000000"/>
          <w:sz w:val="21"/>
          <w:szCs w:val="21"/>
          <w:lang w:val="es-PR"/>
        </w:rPr>
        <w:t>.</w:t>
      </w:r>
    </w:p>
    <w:p w14:paraId="63B47E76" w14:textId="1635CA04" w:rsidR="00646F55" w:rsidRPr="007B1E22" w:rsidRDefault="00646F55" w:rsidP="00646F55">
      <w:pPr>
        <w:pStyle w:val="Prrafodelista"/>
        <w:numPr>
          <w:ilvl w:val="0"/>
          <w:numId w:val="10"/>
        </w:numPr>
        <w:jc w:val="both"/>
        <w:rPr>
          <w:rFonts w:ascii="Century Gothic" w:hAnsi="Century Gothic"/>
          <w:color w:val="000000"/>
          <w:sz w:val="21"/>
          <w:szCs w:val="21"/>
          <w:lang w:val="es-PR"/>
        </w:rPr>
      </w:pPr>
      <w:r w:rsidRPr="007B1E22">
        <w:rPr>
          <w:rFonts w:ascii="Century Gothic" w:hAnsi="Century Gothic"/>
          <w:color w:val="000000"/>
          <w:sz w:val="21"/>
          <w:szCs w:val="21"/>
          <w:lang w:val="es-PR"/>
        </w:rPr>
        <w:t>El marco conceptual y metodológico de la “</w:t>
      </w:r>
      <w:r w:rsidRPr="007B1E22">
        <w:rPr>
          <w:rFonts w:ascii="Century Gothic" w:hAnsi="Century Gothic"/>
          <w:b/>
          <w:color w:val="538135" w:themeColor="accent6" w:themeShade="BF"/>
          <w:sz w:val="21"/>
          <w:szCs w:val="21"/>
          <w:lang w:val="es-PR"/>
        </w:rPr>
        <w:t>Producción Verde</w:t>
      </w:r>
      <w:r w:rsidRPr="007B1E22">
        <w:rPr>
          <w:rFonts w:ascii="Century Gothic" w:hAnsi="Century Gothic"/>
          <w:color w:val="000000"/>
          <w:sz w:val="21"/>
          <w:szCs w:val="21"/>
          <w:lang w:val="es-PR"/>
        </w:rPr>
        <w:t xml:space="preserve">” sirve para la comparación del desempeño ambiental de los sectores productivos de los </w:t>
      </w:r>
      <w:r w:rsidRPr="007B1E22">
        <w:rPr>
          <w:rFonts w:ascii="Century Gothic" w:hAnsi="Century Gothic"/>
          <w:color w:val="000000"/>
          <w:sz w:val="21"/>
          <w:szCs w:val="21"/>
          <w:lang w:val="es-PR"/>
        </w:rPr>
        <w:t xml:space="preserve">diferentes países de la Región </w:t>
      </w:r>
      <w:r w:rsidR="00EA58B3">
        <w:rPr>
          <w:rFonts w:ascii="Century Gothic" w:hAnsi="Century Gothic"/>
          <w:color w:val="000000"/>
          <w:sz w:val="21"/>
          <w:szCs w:val="21"/>
          <w:lang w:val="es-PR"/>
        </w:rPr>
        <w:t xml:space="preserve">de </w:t>
      </w:r>
      <w:r w:rsidRPr="007B1E22">
        <w:rPr>
          <w:rFonts w:ascii="Century Gothic" w:hAnsi="Century Gothic"/>
          <w:color w:val="000000"/>
          <w:sz w:val="21"/>
          <w:szCs w:val="21"/>
          <w:lang w:val="es-PR"/>
        </w:rPr>
        <w:t>América Latina y el Caribe, convirtiéndose en un esque</w:t>
      </w:r>
      <w:r w:rsidR="00FC5B43">
        <w:rPr>
          <w:rFonts w:ascii="Century Gothic" w:hAnsi="Century Gothic"/>
          <w:color w:val="000000"/>
          <w:sz w:val="21"/>
          <w:szCs w:val="21"/>
          <w:lang w:val="es-PR"/>
        </w:rPr>
        <w:t>ma estándar de comparación de las estadística</w:t>
      </w:r>
      <w:r w:rsidRPr="007B1E22">
        <w:rPr>
          <w:rFonts w:ascii="Century Gothic" w:hAnsi="Century Gothic"/>
          <w:color w:val="000000"/>
          <w:sz w:val="21"/>
          <w:szCs w:val="21"/>
          <w:lang w:val="es-PR"/>
        </w:rPr>
        <w:t>s ambientales internacionales.</w:t>
      </w:r>
    </w:p>
    <w:p w14:paraId="1E6456F3" w14:textId="77777777" w:rsidR="00646F55" w:rsidRPr="007B1E22" w:rsidRDefault="00646F55" w:rsidP="00646F55">
      <w:pPr>
        <w:pStyle w:val="Prrafodelista"/>
        <w:numPr>
          <w:ilvl w:val="0"/>
          <w:numId w:val="10"/>
        </w:numPr>
        <w:jc w:val="both"/>
        <w:rPr>
          <w:rFonts w:ascii="Century Gothic" w:hAnsi="Century Gothic"/>
          <w:color w:val="000000"/>
          <w:sz w:val="21"/>
          <w:szCs w:val="21"/>
          <w:lang w:val="es-PR"/>
        </w:rPr>
      </w:pPr>
      <w:r w:rsidRPr="007B1E22">
        <w:rPr>
          <w:rFonts w:ascii="Century Gothic" w:hAnsi="Century Gothic"/>
          <w:color w:val="000000"/>
          <w:sz w:val="21"/>
          <w:szCs w:val="21"/>
          <w:lang w:val="es-PR"/>
        </w:rPr>
        <w:t>Existe compatibilidad con otros marcos establecidos en iniciativas similares, como son: Los Objetivos de Desarrollo Sostenible (ODS) de Naciones Unidas; los indicadores de Crecimiento Verde de la OCDE; la iniciativa de Industria Verde de la Organización de las Naciones Unidas para el Desarrollo Industrial (ONUDI); la Organización Internacional del Trabajo; etc.</w:t>
      </w:r>
    </w:p>
    <w:p w14:paraId="0A687934" w14:textId="77777777" w:rsidR="00646F55" w:rsidRPr="007B1E22" w:rsidRDefault="00646F55" w:rsidP="00646F55">
      <w:pPr>
        <w:pStyle w:val="Prrafodelista"/>
        <w:numPr>
          <w:ilvl w:val="0"/>
          <w:numId w:val="10"/>
        </w:numPr>
        <w:jc w:val="both"/>
        <w:rPr>
          <w:rFonts w:ascii="Century Gothic" w:hAnsi="Century Gothic"/>
          <w:color w:val="000000"/>
          <w:sz w:val="21"/>
          <w:szCs w:val="21"/>
          <w:lang w:val="es-PR"/>
        </w:rPr>
      </w:pPr>
      <w:r w:rsidRPr="007B1E22">
        <w:rPr>
          <w:rFonts w:ascii="Century Gothic" w:hAnsi="Century Gothic"/>
          <w:color w:val="000000"/>
          <w:sz w:val="21"/>
          <w:szCs w:val="21"/>
          <w:lang w:val="es-PR"/>
        </w:rPr>
        <w:t>El SIPV es conciso, en cuanto cada indicador del sistema está bien definido a través de su respectiva ficha metodológica; y,</w:t>
      </w:r>
    </w:p>
    <w:p w14:paraId="64FE79F5" w14:textId="77777777" w:rsidR="00646F55" w:rsidRPr="007B1E22" w:rsidRDefault="00646F55" w:rsidP="00646F55">
      <w:pPr>
        <w:pStyle w:val="Prrafodelista"/>
        <w:numPr>
          <w:ilvl w:val="0"/>
          <w:numId w:val="10"/>
        </w:numPr>
        <w:jc w:val="both"/>
        <w:rPr>
          <w:rFonts w:ascii="Century Gothic" w:hAnsi="Century Gothic"/>
          <w:color w:val="000000"/>
          <w:sz w:val="21"/>
          <w:szCs w:val="21"/>
          <w:lang w:val="es-PR"/>
        </w:rPr>
      </w:pPr>
      <w:r w:rsidRPr="007B1E22">
        <w:rPr>
          <w:rFonts w:ascii="Century Gothic" w:hAnsi="Century Gothic"/>
          <w:color w:val="000000"/>
          <w:sz w:val="21"/>
          <w:szCs w:val="21"/>
          <w:lang w:val="es-PR"/>
        </w:rPr>
        <w:t>El SIPV es factible de cálculo, a través del levantamiento de encuestas a empresas; por tanto, es compatible con la actual operación estadística ENESEM.</w:t>
      </w:r>
    </w:p>
    <w:p w14:paraId="1199A371" w14:textId="77777777" w:rsidR="00646F55" w:rsidRPr="007B1E22" w:rsidRDefault="00646F55" w:rsidP="00646F55">
      <w:pPr>
        <w:jc w:val="both"/>
        <w:rPr>
          <w:rFonts w:ascii="Century Gothic" w:hAnsi="Century Gothic"/>
          <w:color w:val="000000"/>
          <w:sz w:val="21"/>
          <w:szCs w:val="21"/>
          <w:lang w:val="es-PR"/>
        </w:rPr>
      </w:pPr>
    </w:p>
    <w:p w14:paraId="4E1FEE0E" w14:textId="26269BE8" w:rsidR="00646F55" w:rsidRPr="007B1E22" w:rsidRDefault="00646F55" w:rsidP="00646F55">
      <w:pPr>
        <w:jc w:val="both"/>
        <w:rPr>
          <w:rFonts w:ascii="Century Gothic" w:hAnsi="Century Gothic"/>
          <w:color w:val="000000"/>
          <w:sz w:val="21"/>
          <w:szCs w:val="21"/>
          <w:lang w:val="es-PR"/>
        </w:rPr>
      </w:pPr>
      <w:r w:rsidRPr="007B1E22">
        <w:rPr>
          <w:rFonts w:ascii="Century Gothic" w:hAnsi="Century Gothic"/>
          <w:color w:val="000000"/>
          <w:sz w:val="21"/>
          <w:szCs w:val="21"/>
          <w:lang w:val="es-PR"/>
        </w:rPr>
        <w:t>En tal virtud, el objeto del Módulo Ambiental</w:t>
      </w:r>
      <w:r w:rsidR="00EA58B3">
        <w:rPr>
          <w:rFonts w:ascii="Century Gothic" w:hAnsi="Century Gothic"/>
          <w:color w:val="000000"/>
          <w:sz w:val="21"/>
          <w:szCs w:val="21"/>
          <w:lang w:val="es-PR"/>
        </w:rPr>
        <w:t xml:space="preserve"> Económica</w:t>
      </w:r>
      <w:r w:rsidRPr="007B1E22">
        <w:rPr>
          <w:rFonts w:ascii="Century Gothic" w:hAnsi="Century Gothic"/>
          <w:color w:val="000000"/>
          <w:sz w:val="21"/>
          <w:szCs w:val="21"/>
          <w:lang w:val="es-PR"/>
        </w:rPr>
        <w:t xml:space="preserve"> de la Encuesta Estructural Empresarial (MA</w:t>
      </w:r>
      <w:r w:rsidR="00EA58B3">
        <w:rPr>
          <w:rFonts w:ascii="Century Gothic" w:hAnsi="Century Gothic"/>
          <w:color w:val="000000"/>
          <w:sz w:val="21"/>
          <w:szCs w:val="21"/>
          <w:lang w:val="es-PR"/>
        </w:rPr>
        <w:t>E</w:t>
      </w:r>
      <w:r w:rsidRPr="007B1E22">
        <w:rPr>
          <w:rFonts w:ascii="Century Gothic" w:hAnsi="Century Gothic"/>
          <w:color w:val="000000"/>
          <w:sz w:val="21"/>
          <w:szCs w:val="21"/>
          <w:lang w:val="es-PR"/>
        </w:rPr>
        <w:t>-ENESEM) consiste en:</w:t>
      </w:r>
    </w:p>
    <w:p w14:paraId="39FC7E48" w14:textId="77777777" w:rsidR="00646F55" w:rsidRPr="007B1E22" w:rsidRDefault="00646F55" w:rsidP="00646F55">
      <w:pPr>
        <w:jc w:val="both"/>
        <w:rPr>
          <w:rFonts w:ascii="Century Gothic" w:hAnsi="Century Gothic"/>
          <w:color w:val="000000"/>
          <w:sz w:val="21"/>
          <w:szCs w:val="21"/>
          <w:lang w:val="es-PR"/>
        </w:rPr>
      </w:pPr>
    </w:p>
    <w:p w14:paraId="268558EA" w14:textId="48149D8F" w:rsidR="00646F55" w:rsidRPr="007B1E22" w:rsidRDefault="00646F55" w:rsidP="00646F55">
      <w:pPr>
        <w:ind w:left="432"/>
        <w:jc w:val="both"/>
        <w:rPr>
          <w:rFonts w:ascii="Century Gothic" w:hAnsi="Century Gothic"/>
          <w:color w:val="000000"/>
          <w:sz w:val="21"/>
          <w:szCs w:val="21"/>
          <w:lang w:val="es-PR"/>
        </w:rPr>
      </w:pPr>
      <w:r w:rsidRPr="007B1E22">
        <w:rPr>
          <w:rFonts w:ascii="Century Gothic" w:hAnsi="Century Gothic"/>
          <w:color w:val="000000"/>
          <w:sz w:val="21"/>
          <w:szCs w:val="21"/>
          <w:lang w:val="es-PR"/>
        </w:rPr>
        <w:t>“</w:t>
      </w:r>
      <w:r w:rsidRPr="007B1E22">
        <w:rPr>
          <w:rFonts w:ascii="Century Gothic" w:hAnsi="Century Gothic"/>
          <w:i/>
          <w:color w:val="538135" w:themeColor="accent6" w:themeShade="BF"/>
          <w:sz w:val="21"/>
          <w:szCs w:val="21"/>
          <w:lang w:val="es-PR"/>
        </w:rPr>
        <w:t>Proporcionar</w:t>
      </w:r>
      <w:r w:rsidR="004A589A" w:rsidRPr="004A589A">
        <w:rPr>
          <w:rFonts w:ascii="Century Gothic" w:hAnsi="Century Gothic"/>
          <w:i/>
          <w:color w:val="538135" w:themeColor="accent6" w:themeShade="BF"/>
          <w:sz w:val="20"/>
          <w:szCs w:val="20"/>
          <w:lang w:val="es-PR"/>
        </w:rPr>
        <w:t xml:space="preserve"> </w:t>
      </w:r>
      <w:r w:rsidRPr="004A589A">
        <w:rPr>
          <w:rFonts w:ascii="Century Gothic" w:hAnsi="Century Gothic"/>
          <w:i/>
          <w:color w:val="538135" w:themeColor="accent6" w:themeShade="BF"/>
          <w:sz w:val="20"/>
          <w:szCs w:val="20"/>
          <w:lang w:val="es-PR"/>
        </w:rPr>
        <w:t>información precisa</w:t>
      </w:r>
      <w:r w:rsidRPr="007B1E22">
        <w:rPr>
          <w:rFonts w:ascii="Century Gothic" w:hAnsi="Century Gothic"/>
          <w:i/>
          <w:color w:val="538135" w:themeColor="accent6" w:themeShade="BF"/>
          <w:sz w:val="21"/>
          <w:szCs w:val="21"/>
          <w:lang w:val="es-PR"/>
        </w:rPr>
        <w:t xml:space="preserve"> y fiable de las principales características ambientales y económicas de las empresas tales como: gestión ambiental, oferta y utilización de bienes y servicios ambientales, combustibles y lubricantes, energía, agua, manejo de aguas residuales y otros residuos de los diversos sectores que constituyen la actividad industrial de la economía del país</w:t>
      </w:r>
      <w:r w:rsidRPr="007B1E22">
        <w:rPr>
          <w:rFonts w:ascii="Century Gothic" w:hAnsi="Century Gothic"/>
          <w:i/>
          <w:color w:val="000000"/>
          <w:sz w:val="21"/>
          <w:szCs w:val="21"/>
          <w:lang w:val="es-PR"/>
        </w:rPr>
        <w:t>”.</w:t>
      </w:r>
      <w:sdt>
        <w:sdtPr>
          <w:rPr>
            <w:rFonts w:ascii="Century Gothic" w:hAnsi="Century Gothic"/>
            <w:i/>
            <w:color w:val="000000"/>
            <w:sz w:val="21"/>
            <w:szCs w:val="21"/>
            <w:lang w:val="es-PR"/>
          </w:rPr>
          <w:id w:val="-1184514431"/>
          <w:citation/>
        </w:sdtPr>
        <w:sdtEndPr/>
        <w:sdtContent>
          <w:r w:rsidRPr="007E3C14">
            <w:rPr>
              <w:rFonts w:ascii="Century Gothic" w:hAnsi="Century Gothic"/>
              <w:i/>
              <w:color w:val="000000"/>
              <w:sz w:val="21"/>
              <w:szCs w:val="21"/>
              <w:lang w:val="es-PR"/>
            </w:rPr>
            <w:fldChar w:fldCharType="begin"/>
          </w:r>
          <w:r w:rsidR="000A66AF">
            <w:rPr>
              <w:rFonts w:ascii="Century Gothic" w:hAnsi="Century Gothic"/>
              <w:color w:val="000000"/>
              <w:sz w:val="21"/>
              <w:szCs w:val="21"/>
              <w:lang w:val="es-PR"/>
            </w:rPr>
            <w:instrText xml:space="preserve">CITATION DEC23 \l 20490 </w:instrText>
          </w:r>
          <w:r w:rsidRPr="007E3C14">
            <w:rPr>
              <w:rFonts w:ascii="Century Gothic" w:hAnsi="Century Gothic"/>
              <w:i/>
              <w:color w:val="000000"/>
              <w:sz w:val="21"/>
              <w:szCs w:val="21"/>
              <w:lang w:val="es-PR"/>
            </w:rPr>
            <w:fldChar w:fldCharType="separate"/>
          </w:r>
          <w:r w:rsidR="000A66AF">
            <w:rPr>
              <w:rFonts w:ascii="Century Gothic" w:hAnsi="Century Gothic"/>
              <w:noProof/>
              <w:color w:val="000000"/>
              <w:sz w:val="21"/>
              <w:szCs w:val="21"/>
              <w:lang w:val="es-PR"/>
            </w:rPr>
            <w:t xml:space="preserve"> </w:t>
          </w:r>
          <w:r w:rsidR="000A66AF" w:rsidRPr="000A66AF">
            <w:rPr>
              <w:rFonts w:ascii="Century Gothic" w:hAnsi="Century Gothic"/>
              <w:noProof/>
              <w:color w:val="000000"/>
              <w:sz w:val="21"/>
              <w:szCs w:val="21"/>
              <w:lang w:val="es-PR"/>
            </w:rPr>
            <w:t>(INEC, 2023)</w:t>
          </w:r>
          <w:r w:rsidRPr="007E3C14">
            <w:rPr>
              <w:rFonts w:ascii="Century Gothic" w:hAnsi="Century Gothic"/>
              <w:i/>
              <w:color w:val="000000"/>
              <w:sz w:val="21"/>
              <w:szCs w:val="21"/>
              <w:lang w:val="es-PR"/>
            </w:rPr>
            <w:fldChar w:fldCharType="end"/>
          </w:r>
        </w:sdtContent>
      </w:sdt>
    </w:p>
    <w:p w14:paraId="64B0CACB" w14:textId="77777777" w:rsidR="00646F55" w:rsidRPr="007B1E22" w:rsidRDefault="00646F55" w:rsidP="00646F55">
      <w:pPr>
        <w:jc w:val="both"/>
        <w:rPr>
          <w:rFonts w:ascii="Century Gothic" w:hAnsi="Century Gothic"/>
          <w:color w:val="000000"/>
          <w:sz w:val="21"/>
          <w:szCs w:val="21"/>
          <w:lang w:val="es-PR"/>
        </w:rPr>
      </w:pPr>
    </w:p>
    <w:p w14:paraId="6D60BA04" w14:textId="5A381089" w:rsidR="00646F55" w:rsidRPr="007B1E22" w:rsidRDefault="00646F55" w:rsidP="00646F55">
      <w:pPr>
        <w:jc w:val="both"/>
        <w:rPr>
          <w:rFonts w:ascii="Century Gothic" w:hAnsi="Century Gothic"/>
          <w:sz w:val="21"/>
          <w:szCs w:val="21"/>
          <w:lang w:val="es-PR"/>
        </w:rPr>
      </w:pPr>
      <w:r w:rsidRPr="007B1E22">
        <w:rPr>
          <w:rFonts w:ascii="Century Gothic" w:hAnsi="Century Gothic"/>
          <w:sz w:val="21"/>
          <w:szCs w:val="21"/>
          <w:lang w:val="es-PR"/>
        </w:rPr>
        <w:t xml:space="preserve">La organización de contenidos del presente documento es la siguiente: En la sección </w:t>
      </w:r>
      <w:r w:rsidRPr="007B1E22">
        <w:rPr>
          <w:rFonts w:ascii="Century Gothic" w:hAnsi="Century Gothic"/>
          <w:b/>
          <w:i/>
          <w:sz w:val="21"/>
          <w:szCs w:val="21"/>
          <w:lang w:val="es-PR"/>
        </w:rPr>
        <w:t>Principales aspectos metodológicos</w:t>
      </w:r>
      <w:r w:rsidRPr="007B1E22">
        <w:rPr>
          <w:rFonts w:ascii="Century Gothic" w:hAnsi="Century Gothic"/>
          <w:sz w:val="21"/>
          <w:szCs w:val="21"/>
          <w:lang w:val="es-PR"/>
        </w:rPr>
        <w:t xml:space="preserve"> se describe </w:t>
      </w:r>
      <w:r w:rsidR="00834C31">
        <w:rPr>
          <w:rFonts w:ascii="Century Gothic" w:hAnsi="Century Gothic"/>
          <w:sz w:val="21"/>
          <w:szCs w:val="21"/>
          <w:lang w:val="es-PR"/>
        </w:rPr>
        <w:t xml:space="preserve">en forma </w:t>
      </w:r>
      <w:r w:rsidRPr="007B1E22">
        <w:rPr>
          <w:rFonts w:ascii="Century Gothic" w:hAnsi="Century Gothic"/>
          <w:sz w:val="21"/>
          <w:szCs w:val="21"/>
          <w:lang w:val="es-PR"/>
        </w:rPr>
        <w:lastRenderedPageBreak/>
        <w:t xml:space="preserve">breve </w:t>
      </w:r>
      <w:r w:rsidRPr="007B1E22">
        <w:rPr>
          <w:rFonts w:ascii="Century Gothic" w:hAnsi="Century Gothic" w:cs="Times New Roman"/>
          <w:sz w:val="21"/>
          <w:szCs w:val="21"/>
          <w:lang w:val="es-ES_tradnl" w:eastAsia="es-ES_tradnl"/>
        </w:rPr>
        <w:t xml:space="preserve">el método de recolección de los datos, la población objetivo, el universo de estudio, la unidad de análisis, </w:t>
      </w:r>
      <w:r w:rsidR="00EA58B3">
        <w:rPr>
          <w:rFonts w:ascii="Century Gothic" w:hAnsi="Century Gothic" w:cs="Times New Roman"/>
          <w:sz w:val="21"/>
          <w:szCs w:val="21"/>
          <w:lang w:val="es-ES_tradnl" w:eastAsia="es-ES_tradnl"/>
        </w:rPr>
        <w:t>dominios de investigación</w:t>
      </w:r>
      <w:r w:rsidRPr="007B1E22">
        <w:rPr>
          <w:rFonts w:ascii="Century Gothic" w:hAnsi="Century Gothic" w:cs="Times New Roman"/>
          <w:sz w:val="21"/>
          <w:szCs w:val="21"/>
          <w:lang w:val="es-ES_tradnl" w:eastAsia="es-ES_tradnl"/>
        </w:rPr>
        <w:t xml:space="preserve"> y demás información necesaria para una ampliación de la comprensión de los resultados obtenidos una vez finalizada la operación estadística ENESEM </w:t>
      </w:r>
      <w:r w:rsidR="003540AD">
        <w:rPr>
          <w:rFonts w:ascii="Century Gothic" w:hAnsi="Century Gothic" w:cs="Times New Roman"/>
          <w:sz w:val="21"/>
          <w:szCs w:val="21"/>
          <w:lang w:val="es-ES_tradnl" w:eastAsia="es-ES_tradnl"/>
        </w:rPr>
        <w:t>202</w:t>
      </w:r>
      <w:r w:rsidR="00266C0C">
        <w:rPr>
          <w:rFonts w:ascii="Century Gothic" w:hAnsi="Century Gothic" w:cs="Times New Roman"/>
          <w:sz w:val="21"/>
          <w:szCs w:val="21"/>
          <w:lang w:val="es-ES_tradnl" w:eastAsia="es-ES_tradnl"/>
        </w:rPr>
        <w:t>1</w:t>
      </w:r>
      <w:r w:rsidRPr="007B1E22">
        <w:rPr>
          <w:rFonts w:ascii="Century Gothic" w:hAnsi="Century Gothic" w:cs="Times New Roman"/>
          <w:sz w:val="21"/>
          <w:szCs w:val="21"/>
          <w:lang w:val="es-ES_tradnl" w:eastAsia="es-ES_tradnl"/>
        </w:rPr>
        <w:t>.</w:t>
      </w:r>
    </w:p>
    <w:p w14:paraId="32CD175A" w14:textId="77777777" w:rsidR="00646F55" w:rsidRPr="007B1E22" w:rsidRDefault="00646F55" w:rsidP="00646F55">
      <w:pPr>
        <w:jc w:val="both"/>
        <w:rPr>
          <w:rFonts w:ascii="Century Gothic" w:hAnsi="Century Gothic" w:cs="Times New Roman"/>
          <w:color w:val="595959" w:themeColor="text1" w:themeTint="A6"/>
          <w:sz w:val="21"/>
          <w:szCs w:val="21"/>
          <w:highlight w:val="yellow"/>
          <w:lang w:val="es-ES_tradnl" w:eastAsia="es-ES_tradnl"/>
        </w:rPr>
      </w:pPr>
    </w:p>
    <w:p w14:paraId="0105A0C1" w14:textId="02DBA716" w:rsidR="00646F55" w:rsidRPr="007B1E22" w:rsidRDefault="00646F55" w:rsidP="00646F55">
      <w:pPr>
        <w:jc w:val="both"/>
        <w:rPr>
          <w:rFonts w:ascii="Century Gothic" w:hAnsi="Century Gothic" w:cs="Times New Roman"/>
          <w:sz w:val="21"/>
          <w:szCs w:val="21"/>
          <w:lang w:val="es-ES_tradnl" w:eastAsia="es-ES_tradnl"/>
        </w:rPr>
      </w:pPr>
      <w:r w:rsidRPr="007B1E22">
        <w:rPr>
          <w:rFonts w:ascii="Century Gothic" w:hAnsi="Century Gothic" w:cs="Times New Roman"/>
          <w:sz w:val="21"/>
          <w:szCs w:val="21"/>
          <w:lang w:val="es-ES_tradnl" w:eastAsia="es-ES_tradnl"/>
        </w:rPr>
        <w:t xml:space="preserve">Luego, en la sección </w:t>
      </w:r>
      <w:r w:rsidRPr="007B1E22">
        <w:rPr>
          <w:rFonts w:ascii="Century Gothic" w:hAnsi="Century Gothic" w:cs="Times New Roman"/>
          <w:b/>
          <w:i/>
          <w:sz w:val="21"/>
          <w:szCs w:val="21"/>
          <w:lang w:val="es-ES_tradnl" w:eastAsia="es-ES_tradnl"/>
        </w:rPr>
        <w:t>Principales Resultados</w:t>
      </w:r>
      <w:r w:rsidRPr="007B1E22">
        <w:rPr>
          <w:rFonts w:ascii="Century Gothic" w:hAnsi="Century Gothic" w:cs="Times New Roman"/>
          <w:sz w:val="21"/>
          <w:szCs w:val="21"/>
          <w:lang w:val="es-ES_tradnl" w:eastAsia="es-ES_tradnl"/>
        </w:rPr>
        <w:t xml:space="preserve">, se aborda en detalle los resultados más relevantes obtenidos en el Módulo Ambiental </w:t>
      </w:r>
      <w:r w:rsidR="00EA58B3">
        <w:rPr>
          <w:rFonts w:ascii="Century Gothic" w:hAnsi="Century Gothic" w:cs="Times New Roman"/>
          <w:sz w:val="21"/>
          <w:szCs w:val="21"/>
          <w:lang w:val="es-ES_tradnl" w:eastAsia="es-ES_tradnl"/>
        </w:rPr>
        <w:t xml:space="preserve">Económica </w:t>
      </w:r>
      <w:r w:rsidRPr="007B1E22">
        <w:rPr>
          <w:rFonts w:ascii="Century Gothic" w:hAnsi="Century Gothic" w:cs="Times New Roman"/>
          <w:sz w:val="21"/>
          <w:szCs w:val="21"/>
          <w:lang w:val="es-ES_tradnl" w:eastAsia="es-ES_tradnl"/>
        </w:rPr>
        <w:t>de la ENESEM 20</w:t>
      </w:r>
      <w:r w:rsidR="000B1C0F">
        <w:rPr>
          <w:rFonts w:ascii="Century Gothic" w:hAnsi="Century Gothic" w:cs="Times New Roman"/>
          <w:sz w:val="21"/>
          <w:szCs w:val="21"/>
          <w:lang w:val="es-ES_tradnl" w:eastAsia="es-ES_tradnl"/>
        </w:rPr>
        <w:t>2</w:t>
      </w:r>
      <w:r w:rsidR="004273AC">
        <w:rPr>
          <w:rFonts w:ascii="Century Gothic" w:hAnsi="Century Gothic" w:cs="Times New Roman"/>
          <w:sz w:val="21"/>
          <w:szCs w:val="21"/>
          <w:lang w:val="es-ES_tradnl" w:eastAsia="es-ES_tradnl"/>
        </w:rPr>
        <w:t>1</w:t>
      </w:r>
      <w:r w:rsidRPr="007B1E22">
        <w:rPr>
          <w:rFonts w:ascii="Century Gothic" w:hAnsi="Century Gothic" w:cs="Times New Roman"/>
          <w:sz w:val="21"/>
          <w:szCs w:val="21"/>
          <w:lang w:val="es-ES_tradnl" w:eastAsia="es-ES_tradnl"/>
        </w:rPr>
        <w:t>, siempre desde la perspectiva de la consecución del objetivo planteado para la operación estadística bajo estudio.</w:t>
      </w:r>
    </w:p>
    <w:p w14:paraId="4FF4C369" w14:textId="77777777" w:rsidR="00646F55" w:rsidRPr="007B1E22" w:rsidRDefault="00646F55" w:rsidP="00646F55">
      <w:pPr>
        <w:jc w:val="both"/>
        <w:rPr>
          <w:rFonts w:ascii="Century Gothic" w:hAnsi="Century Gothic" w:cs="Times New Roman"/>
          <w:sz w:val="21"/>
          <w:szCs w:val="21"/>
          <w:lang w:val="es-ES_tradnl" w:eastAsia="es-ES_tradnl"/>
        </w:rPr>
      </w:pPr>
    </w:p>
    <w:p w14:paraId="7BF96EEE" w14:textId="77777777" w:rsidR="00646F55" w:rsidRPr="00646F55" w:rsidRDefault="00646F55" w:rsidP="00646F55">
      <w:pPr>
        <w:jc w:val="both"/>
        <w:rPr>
          <w:rFonts w:ascii="Century Gothic" w:hAnsi="Century Gothic" w:cs="Times New Roman"/>
          <w:sz w:val="20"/>
          <w:szCs w:val="20"/>
          <w:lang w:val="es-ES_tradnl" w:eastAsia="es-ES_tradnl"/>
        </w:rPr>
      </w:pPr>
      <w:r w:rsidRPr="007B1E22">
        <w:rPr>
          <w:rFonts w:ascii="Century Gothic" w:hAnsi="Century Gothic" w:cs="Times New Roman"/>
          <w:sz w:val="21"/>
          <w:szCs w:val="21"/>
          <w:lang w:val="es-ES_tradnl" w:eastAsia="es-ES_tradnl"/>
        </w:rPr>
        <w:t xml:space="preserve">Después, se incluye un </w:t>
      </w:r>
      <w:r w:rsidRPr="007B1E22">
        <w:rPr>
          <w:rFonts w:ascii="Century Gothic" w:hAnsi="Century Gothic" w:cs="Times New Roman"/>
          <w:b/>
          <w:i/>
          <w:sz w:val="21"/>
          <w:szCs w:val="21"/>
          <w:lang w:val="es-ES_tradnl" w:eastAsia="es-ES_tradnl"/>
        </w:rPr>
        <w:t>Glosario</w:t>
      </w:r>
      <w:r w:rsidRPr="007B1E22">
        <w:rPr>
          <w:rFonts w:ascii="Century Gothic" w:hAnsi="Century Gothic" w:cs="Times New Roman"/>
          <w:sz w:val="21"/>
          <w:szCs w:val="21"/>
          <w:lang w:val="es-ES_tradnl" w:eastAsia="es-ES_tradnl"/>
        </w:rPr>
        <w:t xml:space="preserve"> con las definiciones de los términos ambientales más importantes y/o usados en el presente documento. Finalmente, se concluye con un apartado de </w:t>
      </w:r>
      <w:r w:rsidRPr="007B1E22">
        <w:rPr>
          <w:rFonts w:ascii="Century Gothic" w:hAnsi="Century Gothic" w:cs="Times New Roman"/>
          <w:b/>
          <w:i/>
          <w:sz w:val="21"/>
          <w:szCs w:val="21"/>
          <w:lang w:val="es-ES_tradnl" w:eastAsia="es-ES_tradnl"/>
        </w:rPr>
        <w:t>Bibliografía</w:t>
      </w:r>
      <w:r w:rsidRPr="007B1E22">
        <w:rPr>
          <w:rFonts w:ascii="Century Gothic" w:hAnsi="Century Gothic" w:cs="Times New Roman"/>
          <w:sz w:val="21"/>
          <w:szCs w:val="21"/>
          <w:lang w:val="es-ES_tradnl" w:eastAsia="es-ES_tradnl"/>
        </w:rPr>
        <w:t xml:space="preserve"> en el cual se incluye un listado de obras de soporte conceptual y metodológico utilizadas para el desarrollo de la operación estadística, así como otras referencias útiles para profundizar en otros aspectos de las estadísticas ambientales, en particular, con los temas asociados a la medición de las dimensiones económicas y ambientales del sector productivo.</w:t>
      </w:r>
    </w:p>
    <w:p w14:paraId="2B219952" w14:textId="77777777" w:rsidR="00646F55" w:rsidRPr="000D670F" w:rsidRDefault="00646F55" w:rsidP="00646F55">
      <w:pPr>
        <w:pStyle w:val="Ttulo1"/>
        <w:rPr>
          <w:rFonts w:ascii="Century Gothic" w:eastAsiaTheme="minorHAnsi" w:hAnsi="Century Gothic" w:cstheme="minorBidi"/>
          <w:color w:val="646482"/>
          <w:lang w:val="es-EC" w:eastAsia="en-US" w:bidi="ar-SA"/>
        </w:rPr>
      </w:pPr>
      <w:bookmarkStart w:id="3" w:name="_Toc132722339"/>
      <w:r w:rsidRPr="000D670F">
        <w:rPr>
          <w:rFonts w:ascii="Century Gothic" w:eastAsiaTheme="minorHAnsi" w:hAnsi="Century Gothic" w:cstheme="minorBidi"/>
          <w:color w:val="646482"/>
          <w:lang w:val="es-EC" w:eastAsia="en-US" w:bidi="ar-SA"/>
        </w:rPr>
        <w:t>Principales aspectos metodológicos</w:t>
      </w:r>
      <w:bookmarkEnd w:id="3"/>
    </w:p>
    <w:p w14:paraId="4303B82E" w14:textId="77777777" w:rsidR="00646F55" w:rsidRPr="00646F55" w:rsidRDefault="00646F55" w:rsidP="00646F55">
      <w:pPr>
        <w:rPr>
          <w:rFonts w:ascii="Century Gothic" w:hAnsi="Century Gothic" w:cs="Calibri"/>
          <w:b/>
          <w:color w:val="2D4B88"/>
          <w:sz w:val="28"/>
        </w:rPr>
      </w:pPr>
    </w:p>
    <w:p w14:paraId="00BD8AF1" w14:textId="77777777" w:rsidR="00646F55" w:rsidRPr="007B1E22" w:rsidRDefault="00646F55" w:rsidP="00646F55">
      <w:pPr>
        <w:pStyle w:val="Default"/>
        <w:jc w:val="both"/>
        <w:rPr>
          <w:color w:val="auto"/>
          <w:sz w:val="21"/>
          <w:szCs w:val="21"/>
        </w:rPr>
      </w:pPr>
      <w:r w:rsidRPr="007B1E22">
        <w:rPr>
          <w:color w:val="auto"/>
          <w:sz w:val="21"/>
          <w:szCs w:val="21"/>
        </w:rPr>
        <w:t xml:space="preserve">Hasta el año 2014, el INEC levantaba de forma independiente dos tipos de encuestas dirigidas a empresas: la “Encuesta de Información Ambiental Económica” y las “Encuestas Industriales - Manufactura, Comercio y Servicios”, cada una con su propia metodología y objetivo de investigación. Dado que el universo de investigación de ambas operaciones estadísticas eran las empresas nacionales –y, de hecho, se investigaban algunas variables </w:t>
      </w:r>
      <w:r w:rsidRPr="007B1E22">
        <w:rPr>
          <w:color w:val="auto"/>
          <w:sz w:val="21"/>
          <w:szCs w:val="21"/>
        </w:rPr>
        <w:t>similares en ambas operaciones-, esta situación motivó al INEC a buscar un marco muestral conjunto para ambas operaciones estadísticas.</w:t>
      </w:r>
    </w:p>
    <w:p w14:paraId="0287E4F2" w14:textId="77777777" w:rsidR="00646F55" w:rsidRPr="007B1E22" w:rsidRDefault="00646F55" w:rsidP="00646F55">
      <w:pPr>
        <w:pStyle w:val="Default"/>
        <w:jc w:val="both"/>
        <w:rPr>
          <w:color w:val="auto"/>
          <w:sz w:val="21"/>
          <w:szCs w:val="21"/>
        </w:rPr>
      </w:pPr>
    </w:p>
    <w:p w14:paraId="3266BD88" w14:textId="77777777" w:rsidR="00646F55" w:rsidRPr="007B1E22" w:rsidRDefault="00646F55" w:rsidP="00646F55">
      <w:pPr>
        <w:pStyle w:val="Default"/>
        <w:jc w:val="both"/>
        <w:rPr>
          <w:color w:val="auto"/>
          <w:sz w:val="21"/>
          <w:szCs w:val="21"/>
        </w:rPr>
      </w:pPr>
      <w:r w:rsidRPr="007B1E22">
        <w:rPr>
          <w:color w:val="auto"/>
          <w:sz w:val="21"/>
          <w:szCs w:val="21"/>
        </w:rPr>
        <w:t>Por ello, y en correspondencia con las buenas prácticas estadísticas, para el levantamiento de la información ambiental económica en empresas con año de referencia 2016 se incorporó en las encuestas industriales un módulo para registrar información de la antigua Encuesta Ambiental Económica, lo que conllevó a la combinación de ambos marcos de investigación, manteniéndose las empresas más representativas de las encuestas industriales –de mayor tamaño- e incluyendo otras de tamaño mediano, de manera que la muestra total mantenga la representatividad con respecto al nuevo marco muestral combinado.</w:t>
      </w:r>
    </w:p>
    <w:p w14:paraId="2A81D06D" w14:textId="77777777" w:rsidR="00646F55" w:rsidRPr="007B1E22" w:rsidRDefault="00646F55" w:rsidP="00646F55">
      <w:pPr>
        <w:pStyle w:val="Default"/>
        <w:jc w:val="both"/>
        <w:rPr>
          <w:color w:val="auto"/>
          <w:sz w:val="21"/>
          <w:szCs w:val="21"/>
        </w:rPr>
      </w:pPr>
    </w:p>
    <w:p w14:paraId="5125B1C3" w14:textId="281BA25E" w:rsidR="00646F55" w:rsidRPr="007B1E22" w:rsidRDefault="00646F55" w:rsidP="00646F55">
      <w:pPr>
        <w:pStyle w:val="Default"/>
        <w:jc w:val="both"/>
        <w:rPr>
          <w:sz w:val="21"/>
          <w:szCs w:val="21"/>
        </w:rPr>
      </w:pPr>
      <w:r w:rsidRPr="007B1E22">
        <w:rPr>
          <w:color w:val="auto"/>
          <w:sz w:val="21"/>
          <w:szCs w:val="21"/>
        </w:rPr>
        <w:t>Con este antecedente, el Módulo de Información</w:t>
      </w:r>
      <w:r w:rsidR="009F7715">
        <w:rPr>
          <w:color w:val="auto"/>
          <w:sz w:val="21"/>
          <w:szCs w:val="21"/>
        </w:rPr>
        <w:t xml:space="preserve"> </w:t>
      </w:r>
      <w:r w:rsidR="00EA58B3" w:rsidRPr="007B1E22">
        <w:rPr>
          <w:color w:val="auto"/>
          <w:sz w:val="21"/>
          <w:szCs w:val="21"/>
        </w:rPr>
        <w:t>Económica</w:t>
      </w:r>
      <w:r w:rsidR="009F7715">
        <w:rPr>
          <w:color w:val="auto"/>
          <w:sz w:val="21"/>
          <w:szCs w:val="21"/>
        </w:rPr>
        <w:t xml:space="preserve"> Ambiental</w:t>
      </w:r>
      <w:r w:rsidRPr="007B1E22">
        <w:rPr>
          <w:color w:val="auto"/>
          <w:sz w:val="21"/>
          <w:szCs w:val="21"/>
        </w:rPr>
        <w:t xml:space="preserve"> en Empresas ha venido realizando actualizaciones metodológicas continuas, sobre</w:t>
      </w:r>
      <w:r w:rsidR="009F7715">
        <w:rPr>
          <w:color w:val="auto"/>
          <w:sz w:val="21"/>
          <w:szCs w:val="21"/>
        </w:rPr>
        <w:t xml:space="preserve"> </w:t>
      </w:r>
      <w:r w:rsidRPr="007B1E22">
        <w:rPr>
          <w:color w:val="auto"/>
          <w:sz w:val="21"/>
          <w:szCs w:val="21"/>
        </w:rPr>
        <w:t xml:space="preserve">todo en el refinamiento del conjunto de variables </w:t>
      </w:r>
      <w:r w:rsidRPr="007B1E22">
        <w:rPr>
          <w:sz w:val="21"/>
          <w:szCs w:val="21"/>
        </w:rPr>
        <w:t xml:space="preserve">investigadas, con el fin de incluir la cantidad </w:t>
      </w:r>
      <w:r w:rsidR="009F7715">
        <w:rPr>
          <w:sz w:val="21"/>
          <w:szCs w:val="21"/>
        </w:rPr>
        <w:t>óptima</w:t>
      </w:r>
      <w:r w:rsidRPr="007B1E22">
        <w:rPr>
          <w:sz w:val="21"/>
          <w:szCs w:val="21"/>
        </w:rPr>
        <w:t xml:space="preserve"> de indicadores afines con el mencionado Sistema de Indicadores de Producción Verde.</w:t>
      </w:r>
    </w:p>
    <w:p w14:paraId="2E2164F6" w14:textId="77777777" w:rsidR="00646F55" w:rsidRPr="007B1E22" w:rsidRDefault="00646F55" w:rsidP="00646F55">
      <w:pPr>
        <w:pStyle w:val="Default"/>
        <w:jc w:val="both"/>
        <w:rPr>
          <w:sz w:val="21"/>
          <w:szCs w:val="21"/>
        </w:rPr>
      </w:pPr>
    </w:p>
    <w:p w14:paraId="522B0EBA" w14:textId="2E4D0A8E" w:rsidR="00646F55" w:rsidRPr="007B1E22" w:rsidRDefault="00646F55" w:rsidP="00646F55">
      <w:pPr>
        <w:jc w:val="both"/>
        <w:rPr>
          <w:rFonts w:ascii="Century Gothic" w:hAnsi="Century Gothic"/>
          <w:sz w:val="21"/>
          <w:szCs w:val="21"/>
        </w:rPr>
      </w:pPr>
      <w:r w:rsidRPr="007B1E22">
        <w:rPr>
          <w:rFonts w:ascii="Century Gothic" w:hAnsi="Century Gothic"/>
          <w:sz w:val="21"/>
          <w:szCs w:val="21"/>
        </w:rPr>
        <w:t>En la Tabla 1 se detalla la selección de las empresas investigadas por actividad económica en el Módulo Ambiental</w:t>
      </w:r>
      <w:r w:rsidR="00EA58B3">
        <w:rPr>
          <w:rFonts w:ascii="Century Gothic" w:hAnsi="Century Gothic"/>
          <w:sz w:val="21"/>
          <w:szCs w:val="21"/>
        </w:rPr>
        <w:t xml:space="preserve"> Económica</w:t>
      </w:r>
      <w:r w:rsidRPr="007B1E22">
        <w:rPr>
          <w:rFonts w:ascii="Century Gothic" w:hAnsi="Century Gothic"/>
          <w:sz w:val="21"/>
          <w:szCs w:val="21"/>
        </w:rPr>
        <w:t xml:space="preserve"> ENESEM 20</w:t>
      </w:r>
      <w:r w:rsidR="000B1C0F">
        <w:rPr>
          <w:rFonts w:ascii="Century Gothic" w:hAnsi="Century Gothic"/>
          <w:sz w:val="21"/>
          <w:szCs w:val="21"/>
        </w:rPr>
        <w:t>2</w:t>
      </w:r>
      <w:r w:rsidR="00FD6049">
        <w:rPr>
          <w:rFonts w:ascii="Century Gothic" w:hAnsi="Century Gothic"/>
          <w:sz w:val="21"/>
          <w:szCs w:val="21"/>
        </w:rPr>
        <w:t>1</w:t>
      </w:r>
      <w:r w:rsidRPr="007B1E22">
        <w:rPr>
          <w:rFonts w:ascii="Century Gothic" w:hAnsi="Century Gothic"/>
          <w:sz w:val="21"/>
          <w:szCs w:val="21"/>
        </w:rPr>
        <w:t>.</w:t>
      </w:r>
    </w:p>
    <w:p w14:paraId="58E0DBD9" w14:textId="77777777" w:rsidR="00646F55" w:rsidRPr="00646F55" w:rsidRDefault="00646F55" w:rsidP="00646F55">
      <w:pPr>
        <w:jc w:val="both"/>
        <w:rPr>
          <w:rFonts w:ascii="Century Gothic" w:hAnsi="Century Gothic"/>
          <w:b/>
          <w:bCs/>
          <w:color w:val="595959" w:themeColor="text1" w:themeTint="A6"/>
          <w:sz w:val="20"/>
          <w:szCs w:val="18"/>
        </w:rPr>
      </w:pPr>
    </w:p>
    <w:p w14:paraId="455EEB59" w14:textId="3946BE6D" w:rsidR="00646F55" w:rsidRPr="00646F55" w:rsidRDefault="00646F55" w:rsidP="00646F55">
      <w:pPr>
        <w:pStyle w:val="Descripcin"/>
        <w:jc w:val="both"/>
        <w:rPr>
          <w:rFonts w:cstheme="minorHAnsi"/>
          <w:i w:val="0"/>
          <w:color w:val="auto"/>
          <w:sz w:val="16"/>
        </w:rPr>
      </w:pPr>
      <w:bookmarkStart w:id="4" w:name="_Toc132722366"/>
      <w:r w:rsidRPr="007E3C14">
        <w:rPr>
          <w:b/>
          <w:bCs/>
          <w:i w:val="0"/>
          <w:color w:val="auto"/>
          <w:sz w:val="16"/>
        </w:rPr>
        <w:t xml:space="preserve">Tabla </w:t>
      </w:r>
      <w:r w:rsidRPr="007E3C14">
        <w:rPr>
          <w:b/>
          <w:bCs/>
          <w:i w:val="0"/>
          <w:color w:val="auto"/>
          <w:sz w:val="16"/>
        </w:rPr>
        <w:fldChar w:fldCharType="begin"/>
      </w:r>
      <w:r w:rsidRPr="007E3C14">
        <w:rPr>
          <w:b/>
          <w:bCs/>
          <w:i w:val="0"/>
          <w:color w:val="auto"/>
          <w:sz w:val="16"/>
        </w:rPr>
        <w:instrText xml:space="preserve"> SEQ Tabla \* ARABIC </w:instrText>
      </w:r>
      <w:r w:rsidRPr="007E3C14">
        <w:rPr>
          <w:b/>
          <w:bCs/>
          <w:i w:val="0"/>
          <w:color w:val="auto"/>
          <w:sz w:val="16"/>
        </w:rPr>
        <w:fldChar w:fldCharType="separate"/>
      </w:r>
      <w:r w:rsidRPr="007E3C14">
        <w:rPr>
          <w:b/>
          <w:bCs/>
          <w:i w:val="0"/>
          <w:noProof/>
          <w:color w:val="auto"/>
          <w:sz w:val="16"/>
        </w:rPr>
        <w:t>1</w:t>
      </w:r>
      <w:r w:rsidRPr="007E3C14">
        <w:rPr>
          <w:b/>
          <w:bCs/>
          <w:i w:val="0"/>
          <w:color w:val="auto"/>
          <w:sz w:val="16"/>
        </w:rPr>
        <w:fldChar w:fldCharType="end"/>
      </w:r>
      <w:r w:rsidRPr="007E3C14">
        <w:rPr>
          <w:b/>
          <w:bCs/>
          <w:i w:val="0"/>
          <w:color w:val="auto"/>
          <w:sz w:val="16"/>
        </w:rPr>
        <w:t xml:space="preserve">. </w:t>
      </w:r>
      <w:r w:rsidRPr="007E3C14">
        <w:rPr>
          <w:rFonts w:cstheme="minorHAnsi"/>
          <w:i w:val="0"/>
          <w:color w:val="auto"/>
          <w:sz w:val="16"/>
        </w:rPr>
        <w:t>Distribución de las empresas expandidas por su factor de expansión, por actividad económica y según tamaño</w:t>
      </w:r>
      <w:r w:rsidR="004961B0">
        <w:rPr>
          <w:rFonts w:cstheme="minorHAnsi"/>
          <w:i w:val="0"/>
          <w:color w:val="auto"/>
          <w:sz w:val="16"/>
        </w:rPr>
        <w:t xml:space="preserve"> (</w:t>
      </w:r>
      <w:r w:rsidRPr="007E3C14">
        <w:rPr>
          <w:rFonts w:cstheme="minorHAnsi"/>
          <w:i w:val="0"/>
          <w:color w:val="auto"/>
          <w:sz w:val="16"/>
        </w:rPr>
        <w:t>20</w:t>
      </w:r>
      <w:r w:rsidR="000B1C0F" w:rsidRPr="007E3C14">
        <w:rPr>
          <w:rFonts w:cstheme="minorHAnsi"/>
          <w:i w:val="0"/>
          <w:color w:val="auto"/>
          <w:sz w:val="16"/>
        </w:rPr>
        <w:t>2</w:t>
      </w:r>
      <w:r w:rsidR="00E828A1">
        <w:rPr>
          <w:rFonts w:cstheme="minorHAnsi"/>
          <w:i w:val="0"/>
          <w:color w:val="auto"/>
          <w:sz w:val="16"/>
        </w:rPr>
        <w:t>1</w:t>
      </w:r>
      <w:r w:rsidR="004961B0">
        <w:rPr>
          <w:rFonts w:cstheme="minorHAnsi"/>
          <w:i w:val="0"/>
          <w:color w:val="auto"/>
          <w:sz w:val="16"/>
        </w:rPr>
        <w:t>)</w:t>
      </w:r>
      <w:r w:rsidRPr="007E3C14">
        <w:rPr>
          <w:rFonts w:cstheme="minorHAnsi"/>
          <w:i w:val="0"/>
          <w:color w:val="auto"/>
          <w:sz w:val="16"/>
        </w:rPr>
        <w:t>.</w:t>
      </w:r>
      <w:bookmarkEnd w:id="4"/>
    </w:p>
    <w:tbl>
      <w:tblPr>
        <w:tblW w:w="4692" w:type="pct"/>
        <w:jc w:val="center"/>
        <w:tblLayout w:type="fixed"/>
        <w:tblCellMar>
          <w:left w:w="70" w:type="dxa"/>
          <w:right w:w="70" w:type="dxa"/>
        </w:tblCellMar>
        <w:tblLook w:val="04A0" w:firstRow="1" w:lastRow="0" w:firstColumn="1" w:lastColumn="0" w:noHBand="0" w:noVBand="1"/>
      </w:tblPr>
      <w:tblGrid>
        <w:gridCol w:w="1525"/>
        <w:gridCol w:w="540"/>
        <w:gridCol w:w="540"/>
        <w:gridCol w:w="496"/>
        <w:gridCol w:w="545"/>
      </w:tblGrid>
      <w:tr w:rsidR="00646F55" w:rsidRPr="00646F55" w14:paraId="360CB941" w14:textId="77777777" w:rsidTr="00F84D01">
        <w:trPr>
          <w:trHeight w:val="571"/>
          <w:jc w:val="center"/>
        </w:trPr>
        <w:tc>
          <w:tcPr>
            <w:tcW w:w="2091" w:type="pct"/>
            <w:tcBorders>
              <w:top w:val="single" w:sz="4" w:space="0" w:color="auto"/>
              <w:left w:val="single" w:sz="4" w:space="0" w:color="auto"/>
              <w:bottom w:val="single" w:sz="4" w:space="0" w:color="auto"/>
              <w:right w:val="single" w:sz="4" w:space="0" w:color="auto"/>
            </w:tcBorders>
            <w:vAlign w:val="center"/>
            <w:hideMark/>
          </w:tcPr>
          <w:p w14:paraId="6577952A" w14:textId="013696AB" w:rsidR="00646F55" w:rsidRPr="00646F55" w:rsidRDefault="007B1E22" w:rsidP="00646F55">
            <w:pPr>
              <w:rPr>
                <w:rFonts w:ascii="Century Gothic" w:eastAsia="Times New Roman" w:hAnsi="Century Gothic" w:cs="Arial"/>
                <w:b/>
                <w:bCs/>
                <w:sz w:val="15"/>
                <w:szCs w:val="15"/>
                <w:lang w:val="es-PR" w:eastAsia="es-PR"/>
              </w:rPr>
            </w:pPr>
            <w:r>
              <w:rPr>
                <w:rFonts w:ascii="Century Gothic" w:eastAsia="Times New Roman" w:hAnsi="Century Gothic" w:cs="Arial"/>
                <w:b/>
                <w:bCs/>
                <w:sz w:val="15"/>
                <w:szCs w:val="15"/>
                <w:lang w:val="es-PR" w:eastAsia="es-PR"/>
              </w:rPr>
              <w:t xml:space="preserve">Actividad económica / </w:t>
            </w:r>
            <w:r w:rsidRPr="007B1E22">
              <w:rPr>
                <w:rFonts w:ascii="Century Gothic" w:eastAsia="Times New Roman" w:hAnsi="Century Gothic" w:cs="Arial"/>
                <w:b/>
                <w:bCs/>
                <w:sz w:val="14"/>
                <w:szCs w:val="14"/>
                <w:lang w:val="es-PR" w:eastAsia="es-PR"/>
              </w:rPr>
              <w:t>Tamaño de e</w:t>
            </w:r>
            <w:r w:rsidR="00646F55" w:rsidRPr="007B1E22">
              <w:rPr>
                <w:rFonts w:ascii="Century Gothic" w:eastAsia="Times New Roman" w:hAnsi="Century Gothic" w:cs="Arial"/>
                <w:b/>
                <w:bCs/>
                <w:sz w:val="14"/>
                <w:szCs w:val="14"/>
                <w:lang w:val="es-PR" w:eastAsia="es-PR"/>
              </w:rPr>
              <w:t>mpresa</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25250" w14:textId="77777777" w:rsidR="00646F55" w:rsidRPr="00646F55" w:rsidRDefault="00646F55" w:rsidP="00646F55">
            <w:pPr>
              <w:jc w:val="center"/>
              <w:rPr>
                <w:rFonts w:ascii="Century Gothic" w:eastAsia="Times New Roman" w:hAnsi="Century Gothic" w:cs="Arial"/>
                <w:b/>
                <w:color w:val="000000"/>
                <w:sz w:val="14"/>
                <w:szCs w:val="18"/>
                <w:lang w:val="es-PR" w:eastAsia="es-PR"/>
              </w:rPr>
            </w:pPr>
            <w:r w:rsidRPr="00646F55">
              <w:rPr>
                <w:rFonts w:ascii="Century Gothic" w:eastAsia="Times New Roman" w:hAnsi="Century Gothic" w:cs="Arial"/>
                <w:b/>
                <w:color w:val="000000"/>
                <w:sz w:val="14"/>
                <w:szCs w:val="18"/>
                <w:lang w:val="es-PR" w:eastAsia="es-PR"/>
              </w:rPr>
              <w:t>Mediana A</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3C89AC" w14:textId="77777777" w:rsidR="00646F55" w:rsidRPr="00646F55" w:rsidRDefault="00646F55" w:rsidP="00646F55">
            <w:pPr>
              <w:jc w:val="center"/>
              <w:rPr>
                <w:rFonts w:ascii="Century Gothic" w:eastAsia="Times New Roman" w:hAnsi="Century Gothic" w:cs="Arial"/>
                <w:b/>
                <w:color w:val="000000"/>
                <w:sz w:val="14"/>
                <w:szCs w:val="18"/>
                <w:lang w:val="es-PR" w:eastAsia="es-PR"/>
              </w:rPr>
            </w:pPr>
            <w:r w:rsidRPr="00646F55">
              <w:rPr>
                <w:rFonts w:ascii="Century Gothic" w:eastAsia="Times New Roman" w:hAnsi="Century Gothic" w:cs="Arial"/>
                <w:b/>
                <w:color w:val="000000"/>
                <w:sz w:val="14"/>
                <w:szCs w:val="18"/>
                <w:lang w:val="es-PR" w:eastAsia="es-PR"/>
              </w:rPr>
              <w:t>Mediana B</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7A77AE" w14:textId="77777777" w:rsidR="00646F55" w:rsidRPr="00646F55" w:rsidRDefault="00646F55" w:rsidP="00646F55">
            <w:pPr>
              <w:jc w:val="center"/>
              <w:rPr>
                <w:rFonts w:ascii="Century Gothic" w:eastAsia="Times New Roman" w:hAnsi="Century Gothic" w:cs="Arial"/>
                <w:b/>
                <w:color w:val="000000"/>
                <w:sz w:val="14"/>
                <w:szCs w:val="18"/>
                <w:lang w:val="es-PR" w:eastAsia="es-PR"/>
              </w:rPr>
            </w:pPr>
            <w:r w:rsidRPr="00646F55">
              <w:rPr>
                <w:rFonts w:ascii="Century Gothic" w:eastAsia="Times New Roman" w:hAnsi="Century Gothic" w:cs="Arial"/>
                <w:b/>
                <w:color w:val="000000"/>
                <w:sz w:val="14"/>
                <w:szCs w:val="18"/>
                <w:lang w:val="es-PR" w:eastAsia="es-PR"/>
              </w:rPr>
              <w:t>Grande</w:t>
            </w:r>
          </w:p>
        </w:tc>
        <w:tc>
          <w:tcPr>
            <w:tcW w:w="747"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F4E3324" w14:textId="77777777" w:rsidR="00646F55" w:rsidRPr="00646F55" w:rsidRDefault="00646F55" w:rsidP="00646F55">
            <w:pPr>
              <w:jc w:val="center"/>
              <w:rPr>
                <w:rFonts w:ascii="Century Gothic" w:eastAsia="Times New Roman" w:hAnsi="Century Gothic" w:cs="Arial"/>
                <w:b/>
                <w:bCs/>
                <w:color w:val="000000"/>
                <w:sz w:val="14"/>
                <w:szCs w:val="18"/>
                <w:lang w:val="es-PR" w:eastAsia="es-PR"/>
              </w:rPr>
            </w:pPr>
            <w:r w:rsidRPr="00646F55">
              <w:rPr>
                <w:rFonts w:ascii="Century Gothic" w:eastAsia="Times New Roman" w:hAnsi="Century Gothic" w:cs="Arial"/>
                <w:b/>
                <w:bCs/>
                <w:color w:val="000000"/>
                <w:sz w:val="14"/>
                <w:szCs w:val="18"/>
                <w:lang w:val="es-PR" w:eastAsia="es-PR"/>
              </w:rPr>
              <w:t>TOTAL</w:t>
            </w:r>
          </w:p>
        </w:tc>
      </w:tr>
      <w:tr w:rsidR="00FD6049" w:rsidRPr="00646F55" w14:paraId="2A457218" w14:textId="77777777" w:rsidTr="00F84D01">
        <w:trPr>
          <w:trHeight w:val="20"/>
          <w:jc w:val="center"/>
        </w:trPr>
        <w:tc>
          <w:tcPr>
            <w:tcW w:w="2091" w:type="pct"/>
            <w:tcBorders>
              <w:top w:val="single" w:sz="4" w:space="0" w:color="auto"/>
              <w:left w:val="single" w:sz="4" w:space="0" w:color="auto"/>
              <w:bottom w:val="single" w:sz="6" w:space="0" w:color="auto"/>
              <w:right w:val="single" w:sz="6" w:space="0" w:color="auto"/>
            </w:tcBorders>
            <w:shd w:val="clear" w:color="auto" w:fill="auto"/>
            <w:hideMark/>
          </w:tcPr>
          <w:p w14:paraId="212BCFE7"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B. Explotación de minas y canteras</w:t>
            </w:r>
          </w:p>
        </w:tc>
        <w:tc>
          <w:tcPr>
            <w:tcW w:w="741" w:type="pct"/>
            <w:tcBorders>
              <w:top w:val="single" w:sz="4" w:space="0" w:color="auto"/>
              <w:left w:val="single" w:sz="6" w:space="0" w:color="auto"/>
              <w:bottom w:val="single" w:sz="6" w:space="0" w:color="auto"/>
              <w:right w:val="single" w:sz="6" w:space="0" w:color="auto"/>
            </w:tcBorders>
            <w:shd w:val="clear" w:color="auto" w:fill="auto"/>
            <w:noWrap/>
          </w:tcPr>
          <w:p w14:paraId="28D389DD" w14:textId="5444E284" w:rsidR="00FD6049" w:rsidRPr="00F84D01"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54</w:t>
            </w:r>
          </w:p>
        </w:tc>
        <w:tc>
          <w:tcPr>
            <w:tcW w:w="741" w:type="pct"/>
            <w:tcBorders>
              <w:top w:val="single" w:sz="4" w:space="0" w:color="auto"/>
              <w:left w:val="single" w:sz="6" w:space="0" w:color="auto"/>
              <w:bottom w:val="single" w:sz="6" w:space="0" w:color="auto"/>
              <w:right w:val="single" w:sz="6" w:space="0" w:color="auto"/>
            </w:tcBorders>
            <w:shd w:val="clear" w:color="auto" w:fill="auto"/>
            <w:noWrap/>
          </w:tcPr>
          <w:p w14:paraId="565CBEEC" w14:textId="71B2D63D"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48</w:t>
            </w:r>
          </w:p>
        </w:tc>
        <w:tc>
          <w:tcPr>
            <w:tcW w:w="680" w:type="pct"/>
            <w:tcBorders>
              <w:top w:val="single" w:sz="4" w:space="0" w:color="auto"/>
              <w:left w:val="single" w:sz="6" w:space="0" w:color="auto"/>
              <w:bottom w:val="single" w:sz="6" w:space="0" w:color="auto"/>
              <w:right w:val="single" w:sz="6" w:space="0" w:color="auto"/>
            </w:tcBorders>
            <w:shd w:val="clear" w:color="auto" w:fill="auto"/>
            <w:noWrap/>
          </w:tcPr>
          <w:p w14:paraId="3F154332" w14:textId="74D1DEC3"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69</w:t>
            </w:r>
          </w:p>
        </w:tc>
        <w:tc>
          <w:tcPr>
            <w:tcW w:w="747" w:type="pct"/>
            <w:tcBorders>
              <w:top w:val="single" w:sz="4" w:space="0" w:color="auto"/>
              <w:left w:val="single" w:sz="6" w:space="0" w:color="auto"/>
              <w:bottom w:val="single" w:sz="6" w:space="0" w:color="auto"/>
              <w:right w:val="single" w:sz="4" w:space="0" w:color="auto"/>
            </w:tcBorders>
            <w:shd w:val="clear" w:color="auto" w:fill="C5E0B3" w:themeFill="accent6" w:themeFillTint="66"/>
            <w:noWrap/>
          </w:tcPr>
          <w:p w14:paraId="2DBF9860" w14:textId="325BE1BE"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171</w:t>
            </w:r>
          </w:p>
        </w:tc>
      </w:tr>
      <w:tr w:rsidR="00FD6049" w:rsidRPr="00646F55" w14:paraId="5EACD8B6"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4536C6AE"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C. Industrias manufactureras</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6170D162" w14:textId="09EFF617"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704</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401D8414" w14:textId="55C08F72"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482</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4760C72F" w14:textId="574BE001"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694</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66C640B2" w14:textId="14DD6D2B"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1880</w:t>
            </w:r>
          </w:p>
        </w:tc>
      </w:tr>
      <w:tr w:rsidR="00FD6049" w:rsidRPr="00646F55" w14:paraId="0DB8601F"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2802951C"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D. Suministro de electricidad, gas, vapor y aire acondicionado</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061F2898" w14:textId="0DB1C631"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12</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74650564" w14:textId="780D08C9"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13</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628CB3AE" w14:textId="2716EFB2"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24</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4AD5F8D8" w14:textId="35F65010"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49</w:t>
            </w:r>
          </w:p>
        </w:tc>
      </w:tr>
      <w:tr w:rsidR="00FD6049" w:rsidRPr="00646F55" w14:paraId="6338708D"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754C3D15"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 xml:space="preserve">E. Distribución de agua, </w:t>
            </w:r>
            <w:r w:rsidRPr="00646F55">
              <w:rPr>
                <w:rFonts w:ascii="Century Gothic" w:eastAsia="Times New Roman" w:hAnsi="Century Gothic" w:cs="Arial"/>
                <w:color w:val="000000"/>
                <w:sz w:val="16"/>
                <w:szCs w:val="18"/>
                <w:lang w:val="es-PR" w:eastAsia="es-PR"/>
              </w:rPr>
              <w:lastRenderedPageBreak/>
              <w:t>alcantarillado, gestión de desechos y actividades de saneamiento</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08D034D6" w14:textId="456A4BD5"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lastRenderedPageBreak/>
              <w:t>33</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36879FED" w14:textId="19EBF1F0"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28</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0C0F2B0E" w14:textId="0BAD4993"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28</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3CF37767" w14:textId="11EC4786"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89</w:t>
            </w:r>
          </w:p>
        </w:tc>
      </w:tr>
      <w:tr w:rsidR="00FD6049" w:rsidRPr="00646F55" w14:paraId="23C62A12"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0742ABAA"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F. Construcción</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23C05574" w14:textId="4EE6CD4C"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322</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249AFB90" w14:textId="075EB7E0"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219</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68B19488" w14:textId="57C0C8FE"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103</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7F9C21B5" w14:textId="19EB9018"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644</w:t>
            </w:r>
          </w:p>
        </w:tc>
      </w:tr>
      <w:tr w:rsidR="00FD6049" w:rsidRPr="00646F55" w14:paraId="0B3E36E9"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0448BE33"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 xml:space="preserve">G. Comercio al por mayor y menor; Reparación de </w:t>
            </w:r>
            <w:r w:rsidRPr="007B1E22">
              <w:rPr>
                <w:rFonts w:ascii="Century Gothic" w:eastAsia="Times New Roman" w:hAnsi="Century Gothic" w:cs="Arial"/>
                <w:color w:val="000000"/>
                <w:sz w:val="16"/>
                <w:szCs w:val="18"/>
                <w:lang w:val="es-PR" w:eastAsia="es-PR"/>
              </w:rPr>
              <w:t>vehículos automotores</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75B54CD7" w14:textId="7D0397B2"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3274</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4751DBA7" w14:textId="0DDF8399"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2418</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2A645FC6" w14:textId="52C848D7" w:rsidR="00FD6049" w:rsidRPr="00F84D01"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1608</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67BAFB0E" w14:textId="689F4C26"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7300</w:t>
            </w:r>
          </w:p>
        </w:tc>
      </w:tr>
      <w:tr w:rsidR="00FD6049" w:rsidRPr="00646F55" w14:paraId="5E9463EA"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6CCD2E8E"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H. Transporte y almacenamiento</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167FFA58" w14:textId="42394B29"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477</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46B3C614" w14:textId="2B053950"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258</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79C2CB5F" w14:textId="02748E9A"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164</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4101011C" w14:textId="4C8F69EF"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899</w:t>
            </w:r>
          </w:p>
        </w:tc>
      </w:tr>
      <w:tr w:rsidR="00FD6049" w:rsidRPr="00646F55" w14:paraId="41FBFF3D"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7DC9F28D"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I. Actividades de alojamiento y de servicio de comidas</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476B16AA" w14:textId="34DFD450"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164</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725152F1" w14:textId="09E0CD6B"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78</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34E7E9ED" w14:textId="103538DF"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36</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40060509" w14:textId="64D382EC"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278</w:t>
            </w:r>
          </w:p>
        </w:tc>
      </w:tr>
      <w:tr w:rsidR="00FD6049" w:rsidRPr="00646F55" w14:paraId="130D64F1"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7B7BA03F"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J. Información y comunicación</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50BF8FF7" w14:textId="2152959E"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128</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6002D2F7" w14:textId="784287DE"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77</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67643E92" w14:textId="2B6335B4"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75</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0BC15603" w14:textId="180FFD28"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280</w:t>
            </w:r>
          </w:p>
        </w:tc>
      </w:tr>
      <w:tr w:rsidR="00FD6049" w:rsidRPr="00646F55" w14:paraId="1C946B2E"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03E63FB4"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K. Actividades financieras y de seguros</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3326A12D" w14:textId="386F94F0"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9</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6C020B72" w14:textId="2BB197E0"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8</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257DF4EC" w14:textId="571C3A4D"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44</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6C29D9C6" w14:textId="70F57236"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61</w:t>
            </w:r>
          </w:p>
        </w:tc>
      </w:tr>
      <w:tr w:rsidR="00FD6049" w:rsidRPr="00646F55" w14:paraId="7FF5DD1F"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04E08D12"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L. Actividades inmobiliarias</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35909859" w14:textId="132B8472"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138</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073159A4" w14:textId="0784C297"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56</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0B488AC0" w14:textId="0B29BEAD"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33</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78FF94A1" w14:textId="5B849F94"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227</w:t>
            </w:r>
          </w:p>
        </w:tc>
      </w:tr>
      <w:tr w:rsidR="00FD6049" w:rsidRPr="00646F55" w14:paraId="35658EE5"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1630D930"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M. Actividades profesionales, científicas y técnicas</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6B08C1B4" w14:textId="09EADB78"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395</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49FC0A3B" w14:textId="11F230E3"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190</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65214C61" w14:textId="134A20FA"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82</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497C0200" w14:textId="1DDFC641"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667</w:t>
            </w:r>
          </w:p>
        </w:tc>
      </w:tr>
      <w:tr w:rsidR="00FD6049" w:rsidRPr="00646F55" w14:paraId="52369E0C"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1427B951"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N. Actividades de servicios administrativos y de apoyo</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52FD0EE6" w14:textId="2CC55E44"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258</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5131696B" w14:textId="2ABE2874"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144</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6FA5FBDE" w14:textId="5C22A422"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81</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4DBC7739" w14:textId="37FF9CD2"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483</w:t>
            </w:r>
          </w:p>
        </w:tc>
      </w:tr>
      <w:tr w:rsidR="00FD6049" w:rsidRPr="00646F55" w14:paraId="6AEA39B2"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145A121F"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P. Enseñanza</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5E75E7FB" w14:textId="642FF06A"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141</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6C517547" w14:textId="1E270154"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96</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0C0D109E" w14:textId="596ABFCB"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54</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6C433F8F" w14:textId="6F4CA523"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291</w:t>
            </w:r>
          </w:p>
        </w:tc>
      </w:tr>
      <w:tr w:rsidR="00FD6049" w:rsidRPr="00646F55" w14:paraId="56F611E4"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36B45F78"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Q. Actividades de atención a la salud humana y de asistencia social</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40BF5789" w14:textId="6A681A1C"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156</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078DED8D" w14:textId="36BEA1AD"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136</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6ADEF856" w14:textId="4A4D4D34"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107</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06E9EB57" w14:textId="12979830"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399</w:t>
            </w:r>
          </w:p>
        </w:tc>
      </w:tr>
      <w:tr w:rsidR="00FD6049" w:rsidRPr="00646F55" w14:paraId="108FC14B"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391934E4"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R. Artes, entretenimiento y recreación</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170ED93C" w14:textId="5CB62A2D"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19</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2FB0946F" w14:textId="537CD7CA"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18</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243B44A9" w14:textId="776F393F"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11</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10C5D52C" w14:textId="00F41010"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48</w:t>
            </w:r>
          </w:p>
        </w:tc>
      </w:tr>
      <w:tr w:rsidR="00FD6049" w:rsidRPr="00646F55" w14:paraId="531DBAE9" w14:textId="77777777" w:rsidTr="00F84D01">
        <w:trPr>
          <w:trHeight w:val="20"/>
          <w:jc w:val="center"/>
        </w:trPr>
        <w:tc>
          <w:tcPr>
            <w:tcW w:w="2091" w:type="pct"/>
            <w:tcBorders>
              <w:top w:val="single" w:sz="6" w:space="0" w:color="auto"/>
              <w:left w:val="single" w:sz="4" w:space="0" w:color="auto"/>
              <w:bottom w:val="single" w:sz="6" w:space="0" w:color="auto"/>
              <w:right w:val="single" w:sz="6" w:space="0" w:color="auto"/>
            </w:tcBorders>
            <w:shd w:val="clear" w:color="auto" w:fill="auto"/>
            <w:hideMark/>
          </w:tcPr>
          <w:p w14:paraId="75F71895" w14:textId="77777777" w:rsidR="00FD6049" w:rsidRPr="00646F55" w:rsidRDefault="00FD6049" w:rsidP="00FD6049">
            <w:pP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S. Otras actividades de servicios</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23771121" w14:textId="2E18F820"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30</w:t>
            </w:r>
          </w:p>
        </w:tc>
        <w:tc>
          <w:tcPr>
            <w:tcW w:w="741" w:type="pct"/>
            <w:tcBorders>
              <w:top w:val="single" w:sz="6" w:space="0" w:color="auto"/>
              <w:left w:val="single" w:sz="6" w:space="0" w:color="auto"/>
              <w:bottom w:val="single" w:sz="6" w:space="0" w:color="auto"/>
              <w:right w:val="single" w:sz="6" w:space="0" w:color="auto"/>
            </w:tcBorders>
            <w:shd w:val="clear" w:color="auto" w:fill="auto"/>
            <w:noWrap/>
          </w:tcPr>
          <w:p w14:paraId="29D8E25A" w14:textId="0EF3B3F4"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20</w:t>
            </w:r>
          </w:p>
        </w:tc>
        <w:tc>
          <w:tcPr>
            <w:tcW w:w="680" w:type="pct"/>
            <w:tcBorders>
              <w:top w:val="single" w:sz="6" w:space="0" w:color="auto"/>
              <w:left w:val="single" w:sz="6" w:space="0" w:color="auto"/>
              <w:bottom w:val="single" w:sz="6" w:space="0" w:color="auto"/>
              <w:right w:val="single" w:sz="6" w:space="0" w:color="auto"/>
            </w:tcBorders>
            <w:shd w:val="clear" w:color="auto" w:fill="auto"/>
            <w:noWrap/>
          </w:tcPr>
          <w:p w14:paraId="0070557D" w14:textId="364B4BD4" w:rsidR="00FD6049" w:rsidRPr="00646F55" w:rsidRDefault="00FD6049" w:rsidP="00FD6049">
            <w:pPr>
              <w:jc w:val="right"/>
              <w:rPr>
                <w:rFonts w:ascii="Century Gothic" w:hAnsi="Century Gothic" w:cs="Arial"/>
                <w:color w:val="000000"/>
                <w:sz w:val="14"/>
                <w:szCs w:val="14"/>
              </w:rPr>
            </w:pPr>
            <w:r w:rsidRPr="00FD6049">
              <w:rPr>
                <w:rFonts w:ascii="Century Gothic" w:hAnsi="Century Gothic" w:cs="Arial"/>
                <w:color w:val="000000"/>
                <w:sz w:val="14"/>
                <w:szCs w:val="14"/>
              </w:rPr>
              <w:t>11</w:t>
            </w:r>
          </w:p>
        </w:tc>
        <w:tc>
          <w:tcPr>
            <w:tcW w:w="747"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tcPr>
          <w:p w14:paraId="708C5820" w14:textId="01A8DE59"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61</w:t>
            </w:r>
          </w:p>
        </w:tc>
      </w:tr>
      <w:tr w:rsidR="00FD6049" w:rsidRPr="00646F55" w14:paraId="7CDA5528" w14:textId="77777777" w:rsidTr="00F84D01">
        <w:trPr>
          <w:trHeight w:val="20"/>
          <w:jc w:val="center"/>
        </w:trPr>
        <w:tc>
          <w:tcPr>
            <w:tcW w:w="2091" w:type="pct"/>
            <w:tcBorders>
              <w:top w:val="single" w:sz="6" w:space="0" w:color="auto"/>
              <w:left w:val="single" w:sz="4" w:space="0" w:color="auto"/>
              <w:bottom w:val="single" w:sz="4" w:space="0" w:color="auto"/>
              <w:right w:val="single" w:sz="4" w:space="0" w:color="auto"/>
            </w:tcBorders>
            <w:shd w:val="clear" w:color="auto" w:fill="C5E0B3" w:themeFill="accent6" w:themeFillTint="66"/>
            <w:vAlign w:val="center"/>
            <w:hideMark/>
          </w:tcPr>
          <w:p w14:paraId="3698689E" w14:textId="77777777" w:rsidR="00FD6049" w:rsidRPr="00646F55" w:rsidRDefault="00FD6049" w:rsidP="00FD6049">
            <w:pPr>
              <w:rPr>
                <w:rFonts w:ascii="Century Gothic" w:eastAsia="Times New Roman" w:hAnsi="Century Gothic" w:cs="Arial"/>
                <w:b/>
                <w:bCs/>
                <w:color w:val="000000"/>
                <w:sz w:val="16"/>
                <w:szCs w:val="18"/>
                <w:lang w:val="es-PR" w:eastAsia="es-PR"/>
              </w:rPr>
            </w:pPr>
            <w:r w:rsidRPr="00646F55">
              <w:rPr>
                <w:rFonts w:ascii="Century Gothic" w:eastAsia="Times New Roman" w:hAnsi="Century Gothic" w:cs="Arial"/>
                <w:b/>
                <w:bCs/>
                <w:color w:val="000000"/>
                <w:sz w:val="16"/>
                <w:szCs w:val="18"/>
                <w:lang w:val="es-PR" w:eastAsia="es-PR"/>
              </w:rPr>
              <w:t>TOTAL</w:t>
            </w:r>
          </w:p>
        </w:tc>
        <w:tc>
          <w:tcPr>
            <w:tcW w:w="741" w:type="pct"/>
            <w:tcBorders>
              <w:top w:val="single" w:sz="6" w:space="0" w:color="auto"/>
              <w:left w:val="single" w:sz="4" w:space="0" w:color="auto"/>
              <w:bottom w:val="single" w:sz="4" w:space="0" w:color="auto"/>
              <w:right w:val="single" w:sz="4" w:space="0" w:color="auto"/>
            </w:tcBorders>
            <w:shd w:val="clear" w:color="auto" w:fill="C5E0B3" w:themeFill="accent6" w:themeFillTint="66"/>
            <w:noWrap/>
          </w:tcPr>
          <w:p w14:paraId="0FF2456D" w14:textId="46669B5A" w:rsidR="00FD6049" w:rsidRPr="00A85A28" w:rsidRDefault="00FD6049" w:rsidP="00FD6049">
            <w:pPr>
              <w:jc w:val="right"/>
              <w:rPr>
                <w:rFonts w:ascii="Century Gothic" w:hAnsi="Century Gothic" w:cs="Arial"/>
                <w:b/>
                <w:bCs/>
                <w:color w:val="000000"/>
                <w:sz w:val="14"/>
                <w:szCs w:val="14"/>
              </w:rPr>
            </w:pPr>
            <w:r w:rsidRPr="00A85A28">
              <w:rPr>
                <w:rFonts w:ascii="Century Gothic" w:hAnsi="Century Gothic" w:cs="Arial"/>
                <w:b/>
                <w:bCs/>
                <w:color w:val="000000"/>
                <w:sz w:val="14"/>
                <w:szCs w:val="14"/>
              </w:rPr>
              <w:t>6314</w:t>
            </w:r>
          </w:p>
        </w:tc>
        <w:tc>
          <w:tcPr>
            <w:tcW w:w="741" w:type="pct"/>
            <w:tcBorders>
              <w:top w:val="single" w:sz="6" w:space="0" w:color="auto"/>
              <w:left w:val="single" w:sz="4" w:space="0" w:color="auto"/>
              <w:bottom w:val="single" w:sz="4" w:space="0" w:color="auto"/>
              <w:right w:val="single" w:sz="4" w:space="0" w:color="auto"/>
            </w:tcBorders>
            <w:shd w:val="clear" w:color="auto" w:fill="C5E0B3" w:themeFill="accent6" w:themeFillTint="66"/>
            <w:noWrap/>
          </w:tcPr>
          <w:p w14:paraId="5C5E19C6" w14:textId="6962AD2D" w:rsidR="00FD6049" w:rsidRPr="00A85A28" w:rsidRDefault="00FD6049" w:rsidP="00FD6049">
            <w:pPr>
              <w:jc w:val="right"/>
              <w:rPr>
                <w:rFonts w:ascii="Century Gothic" w:hAnsi="Century Gothic" w:cs="Arial"/>
                <w:b/>
                <w:bCs/>
                <w:color w:val="000000"/>
                <w:sz w:val="14"/>
                <w:szCs w:val="14"/>
              </w:rPr>
            </w:pPr>
            <w:r w:rsidRPr="00A85A28">
              <w:rPr>
                <w:rFonts w:ascii="Century Gothic" w:hAnsi="Century Gothic" w:cs="Arial"/>
                <w:b/>
                <w:bCs/>
                <w:color w:val="000000"/>
                <w:sz w:val="14"/>
                <w:szCs w:val="14"/>
              </w:rPr>
              <w:t>4289</w:t>
            </w:r>
          </w:p>
        </w:tc>
        <w:tc>
          <w:tcPr>
            <w:tcW w:w="680" w:type="pct"/>
            <w:tcBorders>
              <w:top w:val="single" w:sz="6" w:space="0" w:color="auto"/>
              <w:left w:val="single" w:sz="4" w:space="0" w:color="auto"/>
              <w:bottom w:val="single" w:sz="4" w:space="0" w:color="auto"/>
              <w:right w:val="single" w:sz="4" w:space="0" w:color="auto"/>
            </w:tcBorders>
            <w:shd w:val="clear" w:color="auto" w:fill="C5E0B3" w:themeFill="accent6" w:themeFillTint="66"/>
            <w:noWrap/>
          </w:tcPr>
          <w:p w14:paraId="210F9D18" w14:textId="099A88B8" w:rsidR="00FD6049" w:rsidRPr="00A85A28" w:rsidRDefault="00FD6049" w:rsidP="00FD6049">
            <w:pPr>
              <w:jc w:val="right"/>
              <w:rPr>
                <w:rFonts w:ascii="Century Gothic" w:hAnsi="Century Gothic" w:cs="Arial"/>
                <w:b/>
                <w:bCs/>
                <w:color w:val="000000"/>
                <w:sz w:val="14"/>
                <w:szCs w:val="14"/>
              </w:rPr>
            </w:pPr>
            <w:r w:rsidRPr="00A85A28">
              <w:rPr>
                <w:rFonts w:ascii="Century Gothic" w:hAnsi="Century Gothic" w:cs="Arial"/>
                <w:b/>
                <w:bCs/>
                <w:color w:val="000000"/>
                <w:sz w:val="14"/>
                <w:szCs w:val="14"/>
              </w:rPr>
              <w:t>3224</w:t>
            </w:r>
          </w:p>
        </w:tc>
        <w:tc>
          <w:tcPr>
            <w:tcW w:w="747" w:type="pct"/>
            <w:tcBorders>
              <w:top w:val="single" w:sz="6" w:space="0" w:color="auto"/>
              <w:left w:val="single" w:sz="4" w:space="0" w:color="auto"/>
              <w:bottom w:val="single" w:sz="4" w:space="0" w:color="auto"/>
              <w:right w:val="single" w:sz="4" w:space="0" w:color="auto"/>
            </w:tcBorders>
            <w:shd w:val="clear" w:color="auto" w:fill="C5E0B3" w:themeFill="accent6" w:themeFillTint="66"/>
            <w:noWrap/>
          </w:tcPr>
          <w:p w14:paraId="6F0A653A" w14:textId="087BA781" w:rsidR="00FD6049" w:rsidRPr="00FD6049" w:rsidRDefault="00FD6049" w:rsidP="00FD6049">
            <w:pPr>
              <w:jc w:val="right"/>
              <w:rPr>
                <w:rFonts w:ascii="Century Gothic" w:hAnsi="Century Gothic" w:cs="Arial"/>
                <w:b/>
                <w:bCs/>
                <w:color w:val="000000"/>
                <w:sz w:val="14"/>
                <w:szCs w:val="14"/>
              </w:rPr>
            </w:pPr>
            <w:r w:rsidRPr="00FD6049">
              <w:rPr>
                <w:rFonts w:ascii="Century Gothic" w:hAnsi="Century Gothic" w:cs="Arial"/>
                <w:b/>
                <w:bCs/>
                <w:color w:val="000000"/>
                <w:sz w:val="14"/>
                <w:szCs w:val="14"/>
              </w:rPr>
              <w:t>13827</w:t>
            </w:r>
          </w:p>
        </w:tc>
      </w:tr>
    </w:tbl>
    <w:p w14:paraId="5F01DFBB" w14:textId="3C2441CD" w:rsidR="00646F55" w:rsidRPr="00646F55" w:rsidRDefault="00646F55" w:rsidP="00646F55">
      <w:pPr>
        <w:jc w:val="both"/>
        <w:rPr>
          <w:rFonts w:ascii="Century Gothic" w:hAnsi="Century Gothic" w:cs="Calibri"/>
          <w:b/>
          <w:color w:val="404040" w:themeColor="text1" w:themeTint="BF"/>
          <w:sz w:val="14"/>
          <w:szCs w:val="14"/>
        </w:rPr>
      </w:pPr>
    </w:p>
    <w:p w14:paraId="65F1010B" w14:textId="18840F11" w:rsidR="00646F55" w:rsidRDefault="00646F55" w:rsidP="00646F55">
      <w:pPr>
        <w:jc w:val="both"/>
        <w:rPr>
          <w:rFonts w:ascii="Century Gothic" w:hAnsi="Century Gothic" w:cs="Calibri"/>
          <w:sz w:val="14"/>
          <w:szCs w:val="14"/>
        </w:rPr>
      </w:pPr>
      <w:r w:rsidRPr="00646F55">
        <w:rPr>
          <w:rFonts w:ascii="Century Gothic" w:hAnsi="Century Gothic" w:cs="Calibri"/>
          <w:b/>
          <w:sz w:val="14"/>
          <w:szCs w:val="14"/>
        </w:rPr>
        <w:t>Fuente:</w:t>
      </w:r>
      <w:r w:rsidRPr="00646F55">
        <w:rPr>
          <w:rFonts w:ascii="Century Gothic" w:hAnsi="Century Gothic" w:cs="Calibri"/>
          <w:sz w:val="14"/>
          <w:szCs w:val="14"/>
        </w:rPr>
        <w:t xml:space="preserve"> Módulo Ambiental </w:t>
      </w:r>
      <w:r w:rsidR="00EA58B3">
        <w:rPr>
          <w:rFonts w:ascii="Century Gothic" w:hAnsi="Century Gothic" w:cs="Calibri"/>
          <w:sz w:val="14"/>
          <w:szCs w:val="14"/>
        </w:rPr>
        <w:t xml:space="preserve">Económica </w:t>
      </w:r>
      <w:r w:rsidRPr="00646F55">
        <w:rPr>
          <w:rFonts w:ascii="Century Gothic" w:hAnsi="Century Gothic" w:cs="Calibri"/>
          <w:sz w:val="14"/>
          <w:szCs w:val="14"/>
        </w:rPr>
        <w:t>ENESEM 20</w:t>
      </w:r>
      <w:r w:rsidR="00F84D01">
        <w:rPr>
          <w:rFonts w:ascii="Century Gothic" w:hAnsi="Century Gothic" w:cs="Calibri"/>
          <w:sz w:val="14"/>
          <w:szCs w:val="14"/>
        </w:rPr>
        <w:t>2</w:t>
      </w:r>
      <w:r w:rsidR="00FD6049">
        <w:rPr>
          <w:rFonts w:ascii="Century Gothic" w:hAnsi="Century Gothic" w:cs="Calibri"/>
          <w:sz w:val="14"/>
          <w:szCs w:val="14"/>
        </w:rPr>
        <w:t>1</w:t>
      </w:r>
      <w:r w:rsidRPr="00646F55">
        <w:rPr>
          <w:rFonts w:ascii="Century Gothic" w:hAnsi="Century Gothic" w:cs="Calibri"/>
          <w:sz w:val="14"/>
          <w:szCs w:val="14"/>
        </w:rPr>
        <w:t>.</w:t>
      </w:r>
    </w:p>
    <w:p w14:paraId="1F109B25" w14:textId="417776A4" w:rsidR="007B1E22" w:rsidRPr="007B1E22" w:rsidRDefault="007B1E22" w:rsidP="00646F55">
      <w:pPr>
        <w:jc w:val="both"/>
        <w:rPr>
          <w:rFonts w:ascii="Century Gothic" w:hAnsi="Century Gothic" w:cs="Calibri"/>
          <w:szCs w:val="14"/>
        </w:rPr>
      </w:pPr>
      <w:r w:rsidRPr="00646F55">
        <w:rPr>
          <w:rFonts w:ascii="Century Gothic" w:hAnsi="Century Gothic" w:cs="Times New Roman"/>
          <w:b/>
          <w:noProof/>
          <w:color w:val="595959" w:themeColor="text1" w:themeTint="A6"/>
          <w:szCs w:val="20"/>
          <w:lang w:eastAsia="es-EC"/>
        </w:rPr>
        <mc:AlternateContent>
          <mc:Choice Requires="wps">
            <w:drawing>
              <wp:anchor distT="0" distB="0" distL="114300" distR="114300" simplePos="0" relativeHeight="251673600" behindDoc="1" locked="0" layoutInCell="1" allowOverlap="1" wp14:anchorId="7F7A9133" wp14:editId="110C688F">
                <wp:simplePos x="0" y="0"/>
                <wp:positionH relativeFrom="column">
                  <wp:posOffset>-102125</wp:posOffset>
                </wp:positionH>
                <wp:positionV relativeFrom="paragraph">
                  <wp:posOffset>135256</wp:posOffset>
                </wp:positionV>
                <wp:extent cx="2679065" cy="2584174"/>
                <wp:effectExtent l="0" t="0" r="6985" b="6985"/>
                <wp:wrapNone/>
                <wp:docPr id="11" name="10 Rectángulo"/>
                <wp:cNvGraphicFramePr/>
                <a:graphic xmlns:a="http://schemas.openxmlformats.org/drawingml/2006/main">
                  <a:graphicData uri="http://schemas.microsoft.com/office/word/2010/wordprocessingShape">
                    <wps:wsp>
                      <wps:cNvSpPr/>
                      <wps:spPr>
                        <a:xfrm>
                          <a:off x="0" y="0"/>
                          <a:ext cx="2679065" cy="2584174"/>
                        </a:xfrm>
                        <a:prstGeom prst="rect">
                          <a:avLst/>
                        </a:prstGeom>
                        <a:solidFill>
                          <a:schemeClr val="accent4">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2EFDD3" id="10 Rectángulo" o:spid="_x0000_s1026" style="position:absolute;margin-left:-8.05pt;margin-top:10.65pt;width:210.95pt;height:20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" fillcolor="#fff2cc [663]" stroked="f" strokeweight="1pt"/>
            </w:pict>
          </mc:Fallback>
        </mc:AlternateContent>
      </w:r>
    </w:p>
    <w:p w14:paraId="69C1E35A" w14:textId="417C4DCD" w:rsidR="00646F55" w:rsidRPr="00646F55" w:rsidRDefault="00646F55" w:rsidP="00646F55">
      <w:pPr>
        <w:jc w:val="both"/>
        <w:rPr>
          <w:rFonts w:ascii="Century Gothic" w:hAnsi="Century Gothic"/>
          <w:color w:val="C45911" w:themeColor="accent2" w:themeShade="BF"/>
          <w:sz w:val="20"/>
          <w:szCs w:val="20"/>
          <w:vertAlign w:val="superscript"/>
        </w:rPr>
      </w:pPr>
      <w:r w:rsidRPr="00646F55">
        <w:rPr>
          <w:rFonts w:ascii="Century Gothic" w:hAnsi="Century Gothic" w:cs="Times New Roman"/>
          <w:b/>
          <w:color w:val="595959" w:themeColor="text1" w:themeTint="A6"/>
          <w:sz w:val="20"/>
          <w:szCs w:val="20"/>
          <w:lang w:val="es-ES_tradnl" w:eastAsia="es-ES_tradnl"/>
        </w:rPr>
        <w:t>Notas para el lector:</w:t>
      </w:r>
    </w:p>
    <w:p w14:paraId="4E3BE42A" w14:textId="77777777" w:rsidR="00646F55" w:rsidRPr="00646F55" w:rsidRDefault="00646F55" w:rsidP="00646F55">
      <w:pPr>
        <w:jc w:val="both"/>
        <w:rPr>
          <w:rFonts w:ascii="Century Gothic" w:hAnsi="Century Gothic" w:cs="Times New Roman"/>
          <w:color w:val="595959" w:themeColor="text1" w:themeTint="A6"/>
          <w:sz w:val="18"/>
          <w:szCs w:val="20"/>
          <w:lang w:val="es-ES_tradnl" w:eastAsia="es-ES_tradnl"/>
        </w:rPr>
      </w:pPr>
    </w:p>
    <w:p w14:paraId="6AACEB62" w14:textId="77777777" w:rsidR="00646F55" w:rsidRPr="00646F55" w:rsidRDefault="00646F55" w:rsidP="00646F55">
      <w:pPr>
        <w:jc w:val="both"/>
        <w:rPr>
          <w:rFonts w:ascii="Century Gothic" w:hAnsi="Century Gothic" w:cs="Times New Roman"/>
          <w:color w:val="595959" w:themeColor="text1" w:themeTint="A6"/>
          <w:sz w:val="16"/>
          <w:szCs w:val="20"/>
          <w:lang w:val="es-ES_tradnl" w:eastAsia="es-ES_tradnl"/>
        </w:rPr>
      </w:pPr>
      <w:r w:rsidRPr="00646F55">
        <w:rPr>
          <w:rFonts w:ascii="Century Gothic" w:hAnsi="Century Gothic" w:cs="Times New Roman"/>
          <w:color w:val="595959" w:themeColor="text1" w:themeTint="A6"/>
          <w:sz w:val="16"/>
          <w:szCs w:val="20"/>
          <w:lang w:val="es-ES_tradnl" w:eastAsia="es-ES_tradnl"/>
        </w:rPr>
        <w:t>La presente ficha informativa contiene datos relevantes sobre la metodología de diseño y levantamiento muestral, así como sobre la representatividad y comparabilidad de los resultados obtenidos:</w:t>
      </w:r>
    </w:p>
    <w:p w14:paraId="06CEFD6D" w14:textId="77777777" w:rsidR="00646F55" w:rsidRPr="00646F55" w:rsidRDefault="00646F55" w:rsidP="00646F55">
      <w:pPr>
        <w:jc w:val="both"/>
        <w:rPr>
          <w:rFonts w:ascii="Century Gothic" w:hAnsi="Century Gothic" w:cs="Times New Roman"/>
          <w:color w:val="595959" w:themeColor="text1" w:themeTint="A6"/>
          <w:sz w:val="16"/>
          <w:szCs w:val="20"/>
          <w:lang w:val="es-ES_tradnl" w:eastAsia="es-ES_tradnl"/>
        </w:rPr>
      </w:pPr>
    </w:p>
    <w:p w14:paraId="4DDCE483" w14:textId="6A638E32" w:rsidR="00646F55" w:rsidRPr="00D27575" w:rsidRDefault="00646F55" w:rsidP="00646F55">
      <w:pPr>
        <w:pStyle w:val="Prrafodelista"/>
        <w:numPr>
          <w:ilvl w:val="0"/>
          <w:numId w:val="5"/>
        </w:numPr>
        <w:ind w:left="284" w:hanging="284"/>
        <w:jc w:val="both"/>
        <w:rPr>
          <w:rFonts w:ascii="Century Gothic" w:hAnsi="Century Gothic" w:cs="Times New Roman"/>
          <w:color w:val="595959" w:themeColor="text1" w:themeTint="A6"/>
          <w:sz w:val="16"/>
          <w:szCs w:val="20"/>
          <w:lang w:eastAsia="es-ES_tradnl"/>
        </w:rPr>
      </w:pPr>
      <w:r w:rsidRPr="00D27575">
        <w:rPr>
          <w:rFonts w:ascii="Century Gothic" w:hAnsi="Century Gothic" w:cs="Times New Roman"/>
          <w:color w:val="595959" w:themeColor="text1" w:themeTint="A6"/>
          <w:sz w:val="16"/>
          <w:szCs w:val="20"/>
          <w:lang w:eastAsia="es-ES_tradnl"/>
        </w:rPr>
        <w:t>Periodo de levantamiento: ju</w:t>
      </w:r>
      <w:r w:rsidR="00D27575" w:rsidRPr="00D27575">
        <w:rPr>
          <w:rFonts w:ascii="Century Gothic" w:hAnsi="Century Gothic" w:cs="Times New Roman"/>
          <w:color w:val="595959" w:themeColor="text1" w:themeTint="A6"/>
          <w:sz w:val="16"/>
          <w:szCs w:val="20"/>
          <w:lang w:eastAsia="es-ES_tradnl"/>
        </w:rPr>
        <w:t>l</w:t>
      </w:r>
      <w:r w:rsidRPr="00D27575">
        <w:rPr>
          <w:rFonts w:ascii="Century Gothic" w:hAnsi="Century Gothic" w:cs="Times New Roman"/>
          <w:color w:val="595959" w:themeColor="text1" w:themeTint="A6"/>
          <w:sz w:val="16"/>
          <w:szCs w:val="20"/>
          <w:lang w:eastAsia="es-ES_tradnl"/>
        </w:rPr>
        <w:t>io 202</w:t>
      </w:r>
      <w:r w:rsidR="002D195A" w:rsidRPr="00D27575">
        <w:rPr>
          <w:rFonts w:ascii="Century Gothic" w:hAnsi="Century Gothic" w:cs="Times New Roman"/>
          <w:color w:val="595959" w:themeColor="text1" w:themeTint="A6"/>
          <w:sz w:val="16"/>
          <w:szCs w:val="20"/>
          <w:lang w:eastAsia="es-ES_tradnl"/>
        </w:rPr>
        <w:t>2</w:t>
      </w:r>
      <w:r w:rsidRPr="00D27575">
        <w:rPr>
          <w:rFonts w:ascii="Century Gothic" w:hAnsi="Century Gothic" w:cs="Times New Roman"/>
          <w:color w:val="595959" w:themeColor="text1" w:themeTint="A6"/>
          <w:sz w:val="16"/>
          <w:szCs w:val="20"/>
          <w:lang w:eastAsia="es-ES_tradnl"/>
        </w:rPr>
        <w:t xml:space="preserve"> hasta </w:t>
      </w:r>
      <w:r w:rsidR="00D27575" w:rsidRPr="00D27575">
        <w:rPr>
          <w:rFonts w:ascii="Century Gothic" w:hAnsi="Century Gothic" w:cs="Times New Roman"/>
          <w:color w:val="595959" w:themeColor="text1" w:themeTint="A6"/>
          <w:sz w:val="16"/>
          <w:szCs w:val="20"/>
          <w:lang w:eastAsia="es-ES_tradnl"/>
        </w:rPr>
        <w:t>noviem</w:t>
      </w:r>
      <w:r w:rsidRPr="00D27575">
        <w:rPr>
          <w:rFonts w:ascii="Century Gothic" w:hAnsi="Century Gothic" w:cs="Times New Roman"/>
          <w:color w:val="595959" w:themeColor="text1" w:themeTint="A6"/>
          <w:sz w:val="16"/>
          <w:szCs w:val="20"/>
          <w:lang w:eastAsia="es-ES_tradnl"/>
        </w:rPr>
        <w:t>bre 202</w:t>
      </w:r>
      <w:r w:rsidR="002D195A" w:rsidRPr="00D27575">
        <w:rPr>
          <w:rFonts w:ascii="Century Gothic" w:hAnsi="Century Gothic" w:cs="Times New Roman"/>
          <w:color w:val="595959" w:themeColor="text1" w:themeTint="A6"/>
          <w:sz w:val="16"/>
          <w:szCs w:val="20"/>
          <w:lang w:eastAsia="es-ES_tradnl"/>
        </w:rPr>
        <w:t>2</w:t>
      </w:r>
      <w:r w:rsidRPr="00D27575">
        <w:rPr>
          <w:rFonts w:ascii="Century Gothic" w:hAnsi="Century Gothic" w:cs="Times New Roman"/>
          <w:color w:val="595959" w:themeColor="text1" w:themeTint="A6"/>
          <w:sz w:val="16"/>
          <w:szCs w:val="20"/>
          <w:lang w:eastAsia="es-ES_tradnl"/>
        </w:rPr>
        <w:t>, con información económica y ambiental referida al año 20</w:t>
      </w:r>
      <w:r w:rsidR="00476546" w:rsidRPr="00D27575">
        <w:rPr>
          <w:rFonts w:ascii="Century Gothic" w:hAnsi="Century Gothic" w:cs="Times New Roman"/>
          <w:color w:val="595959" w:themeColor="text1" w:themeTint="A6"/>
          <w:sz w:val="16"/>
          <w:szCs w:val="20"/>
          <w:lang w:eastAsia="es-ES_tradnl"/>
        </w:rPr>
        <w:t>2</w:t>
      </w:r>
      <w:r w:rsidR="002D195A" w:rsidRPr="00D27575">
        <w:rPr>
          <w:rFonts w:ascii="Century Gothic" w:hAnsi="Century Gothic" w:cs="Times New Roman"/>
          <w:color w:val="595959" w:themeColor="text1" w:themeTint="A6"/>
          <w:sz w:val="16"/>
          <w:szCs w:val="20"/>
          <w:lang w:eastAsia="es-ES_tradnl"/>
        </w:rPr>
        <w:t>1</w:t>
      </w:r>
      <w:r w:rsidRPr="00D27575">
        <w:rPr>
          <w:rFonts w:ascii="Century Gothic" w:hAnsi="Century Gothic" w:cs="Times New Roman"/>
          <w:color w:val="595959" w:themeColor="text1" w:themeTint="A6"/>
          <w:sz w:val="16"/>
          <w:szCs w:val="20"/>
          <w:lang w:eastAsia="es-ES_tradnl"/>
        </w:rPr>
        <w:t>.</w:t>
      </w:r>
    </w:p>
    <w:p w14:paraId="2E374BFC" w14:textId="0FD682A7" w:rsidR="00646F55" w:rsidRPr="00646F55" w:rsidRDefault="00646F55" w:rsidP="00646F55">
      <w:pPr>
        <w:pStyle w:val="Prrafodelista"/>
        <w:numPr>
          <w:ilvl w:val="0"/>
          <w:numId w:val="5"/>
        </w:numPr>
        <w:ind w:left="284" w:hanging="284"/>
        <w:jc w:val="both"/>
        <w:rPr>
          <w:rFonts w:ascii="Century Gothic" w:hAnsi="Century Gothic" w:cs="Times New Roman"/>
          <w:color w:val="595959" w:themeColor="text1" w:themeTint="A6"/>
          <w:sz w:val="16"/>
          <w:szCs w:val="20"/>
          <w:lang w:eastAsia="es-ES_tradnl"/>
        </w:rPr>
      </w:pPr>
      <w:r w:rsidRPr="00646F55">
        <w:rPr>
          <w:rFonts w:ascii="Century Gothic" w:hAnsi="Century Gothic" w:cs="Times New Roman"/>
          <w:color w:val="595959" w:themeColor="text1" w:themeTint="A6"/>
          <w:sz w:val="16"/>
          <w:szCs w:val="20"/>
          <w:lang w:eastAsia="es-ES_tradnl"/>
        </w:rPr>
        <w:t>Muestra del Módulo Ambiental: Inicial = 4</w:t>
      </w:r>
      <w:r w:rsidR="00476546">
        <w:rPr>
          <w:rFonts w:ascii="Century Gothic" w:hAnsi="Century Gothic" w:cs="Times New Roman"/>
          <w:color w:val="595959" w:themeColor="text1" w:themeTint="A6"/>
          <w:sz w:val="16"/>
          <w:szCs w:val="20"/>
          <w:lang w:eastAsia="es-ES_tradnl"/>
        </w:rPr>
        <w:t>3</w:t>
      </w:r>
      <w:r w:rsidR="002D195A">
        <w:rPr>
          <w:rFonts w:ascii="Century Gothic" w:hAnsi="Century Gothic" w:cs="Times New Roman"/>
          <w:color w:val="595959" w:themeColor="text1" w:themeTint="A6"/>
          <w:sz w:val="16"/>
          <w:szCs w:val="20"/>
          <w:lang w:eastAsia="es-ES_tradnl"/>
        </w:rPr>
        <w:t>82</w:t>
      </w:r>
      <w:r w:rsidRPr="00646F55">
        <w:rPr>
          <w:rFonts w:ascii="Century Gothic" w:hAnsi="Century Gothic" w:cs="Times New Roman"/>
          <w:color w:val="595959" w:themeColor="text1" w:themeTint="A6"/>
          <w:sz w:val="16"/>
          <w:szCs w:val="20"/>
          <w:lang w:eastAsia="es-ES_tradnl"/>
        </w:rPr>
        <w:t xml:space="preserve"> empresas, Final = 3</w:t>
      </w:r>
      <w:r w:rsidR="002D195A">
        <w:rPr>
          <w:rFonts w:ascii="Century Gothic" w:hAnsi="Century Gothic" w:cs="Times New Roman"/>
          <w:color w:val="595959" w:themeColor="text1" w:themeTint="A6"/>
          <w:sz w:val="16"/>
          <w:szCs w:val="20"/>
          <w:lang w:eastAsia="es-ES_tradnl"/>
        </w:rPr>
        <w:t>962</w:t>
      </w:r>
      <w:r w:rsidRPr="00646F55">
        <w:rPr>
          <w:rFonts w:ascii="Century Gothic" w:hAnsi="Century Gothic" w:cs="Times New Roman"/>
          <w:color w:val="595959" w:themeColor="text1" w:themeTint="A6"/>
          <w:sz w:val="16"/>
          <w:szCs w:val="20"/>
          <w:lang w:eastAsia="es-ES_tradnl"/>
        </w:rPr>
        <w:t xml:space="preserve">, Cobertura = </w:t>
      </w:r>
      <w:r w:rsidR="00695941">
        <w:rPr>
          <w:rFonts w:ascii="Century Gothic" w:hAnsi="Century Gothic" w:cs="Times New Roman"/>
          <w:color w:val="595959" w:themeColor="text1" w:themeTint="A6"/>
          <w:sz w:val="16"/>
          <w:szCs w:val="20"/>
          <w:lang w:eastAsia="es-ES_tradnl"/>
        </w:rPr>
        <w:t>90</w:t>
      </w:r>
      <w:r w:rsidRPr="00646F55">
        <w:rPr>
          <w:rFonts w:ascii="Century Gothic" w:hAnsi="Century Gothic" w:cs="Times New Roman"/>
          <w:color w:val="595959" w:themeColor="text1" w:themeTint="A6"/>
          <w:sz w:val="16"/>
          <w:szCs w:val="20"/>
          <w:lang w:eastAsia="es-ES_tradnl"/>
        </w:rPr>
        <w:t>.</w:t>
      </w:r>
      <w:r w:rsidR="00476546">
        <w:rPr>
          <w:rFonts w:ascii="Century Gothic" w:hAnsi="Century Gothic" w:cs="Times New Roman"/>
          <w:color w:val="595959" w:themeColor="text1" w:themeTint="A6"/>
          <w:sz w:val="16"/>
          <w:szCs w:val="20"/>
          <w:lang w:eastAsia="es-ES_tradnl"/>
        </w:rPr>
        <w:t>4</w:t>
      </w:r>
      <w:r w:rsidRPr="00646F55">
        <w:rPr>
          <w:rFonts w:ascii="Century Gothic" w:hAnsi="Century Gothic" w:cs="Times New Roman"/>
          <w:color w:val="595959" w:themeColor="text1" w:themeTint="A6"/>
          <w:sz w:val="16"/>
          <w:szCs w:val="20"/>
          <w:lang w:eastAsia="es-ES_tradnl"/>
        </w:rPr>
        <w:t>%.</w:t>
      </w:r>
    </w:p>
    <w:p w14:paraId="415092FE" w14:textId="7D3B5BC7" w:rsidR="00E7200D" w:rsidRPr="00E7200D" w:rsidRDefault="00646F55" w:rsidP="00E7200D">
      <w:pPr>
        <w:pStyle w:val="Prrafodelista"/>
        <w:numPr>
          <w:ilvl w:val="0"/>
          <w:numId w:val="5"/>
        </w:numPr>
        <w:ind w:left="284" w:hanging="284"/>
        <w:jc w:val="both"/>
        <w:rPr>
          <w:rFonts w:ascii="Century Gothic" w:hAnsi="Century Gothic" w:cs="Times New Roman"/>
          <w:color w:val="595959" w:themeColor="text1" w:themeTint="A6"/>
          <w:sz w:val="16"/>
          <w:szCs w:val="20"/>
          <w:lang w:eastAsia="es-ES_tradnl"/>
        </w:rPr>
      </w:pPr>
      <w:r w:rsidRPr="00646F55">
        <w:rPr>
          <w:rFonts w:ascii="Century Gothic" w:hAnsi="Century Gothic" w:cs="Times New Roman"/>
          <w:color w:val="595959" w:themeColor="text1" w:themeTint="A6"/>
          <w:sz w:val="16"/>
          <w:szCs w:val="20"/>
          <w:lang w:eastAsia="es-ES_tradnl"/>
        </w:rPr>
        <w:t>Actividades económicas investigadas: Las actividades con código CIIU 4.0 desde la B (Explotación de minas y canteras) hasta la S (Otras actividades de servicios). Se incluyen agroindustrias y toda empresa con segunda actividad económica Manufactura.</w:t>
      </w:r>
    </w:p>
    <w:p w14:paraId="5C2E3EB7" w14:textId="77777777" w:rsidR="00E7200D" w:rsidRDefault="00E7200D" w:rsidP="00E7200D">
      <w:pPr>
        <w:pStyle w:val="Prrafodelista"/>
        <w:ind w:left="284"/>
        <w:jc w:val="both"/>
        <w:rPr>
          <w:rFonts w:ascii="Century Gothic" w:hAnsi="Century Gothic" w:cs="Times New Roman"/>
          <w:color w:val="595959" w:themeColor="text1" w:themeTint="A6"/>
          <w:sz w:val="16"/>
          <w:szCs w:val="20"/>
          <w:lang w:eastAsia="es-ES_tradnl"/>
        </w:rPr>
      </w:pPr>
    </w:p>
    <w:p w14:paraId="3AABC685" w14:textId="2E56E86A" w:rsidR="00E7200D" w:rsidRPr="00E7200D" w:rsidRDefault="00E7200D" w:rsidP="00E7200D">
      <w:pPr>
        <w:jc w:val="both"/>
        <w:rPr>
          <w:rFonts w:ascii="Century Gothic" w:hAnsi="Century Gothic" w:cs="Times New Roman"/>
          <w:color w:val="595959" w:themeColor="text1" w:themeTint="A6"/>
          <w:sz w:val="16"/>
          <w:szCs w:val="20"/>
          <w:lang w:eastAsia="es-ES_tradnl"/>
        </w:rPr>
      </w:pPr>
      <w:r w:rsidRPr="00646F55">
        <w:rPr>
          <w:noProof/>
          <w:lang w:eastAsia="es-EC"/>
        </w:rPr>
        <mc:AlternateContent>
          <mc:Choice Requires="wps">
            <w:drawing>
              <wp:anchor distT="0" distB="0" distL="114300" distR="114300" simplePos="0" relativeHeight="251675648" behindDoc="1" locked="0" layoutInCell="1" allowOverlap="1" wp14:anchorId="10A5FB30" wp14:editId="718512FC">
                <wp:simplePos x="0" y="0"/>
                <wp:positionH relativeFrom="column">
                  <wp:posOffset>-103900</wp:posOffset>
                </wp:positionH>
                <wp:positionV relativeFrom="paragraph">
                  <wp:posOffset>-2648</wp:posOffset>
                </wp:positionV>
                <wp:extent cx="2679065" cy="5434642"/>
                <wp:effectExtent l="0" t="0" r="6985" b="0"/>
                <wp:wrapNone/>
                <wp:docPr id="14" name="10 Rectángulo"/>
                <wp:cNvGraphicFramePr/>
                <a:graphic xmlns:a="http://schemas.openxmlformats.org/drawingml/2006/main">
                  <a:graphicData uri="http://schemas.microsoft.com/office/word/2010/wordprocessingShape">
                    <wps:wsp>
                      <wps:cNvSpPr/>
                      <wps:spPr>
                        <a:xfrm>
                          <a:off x="0" y="0"/>
                          <a:ext cx="2679065" cy="5434642"/>
                        </a:xfrm>
                        <a:prstGeom prst="rect">
                          <a:avLst/>
                        </a:prstGeom>
                        <a:solidFill>
                          <a:schemeClr val="accent4">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95B4DF" id="10 Rectángulo" o:spid="_x0000_s1026" style="position:absolute;margin-left:-8.2pt;margin-top:-.2pt;width:210.95pt;height:427.9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" fillcolor="#fff2cc [663]" stroked="f" strokeweight="1pt"/>
            </w:pict>
          </mc:Fallback>
        </mc:AlternateContent>
      </w:r>
    </w:p>
    <w:p w14:paraId="0D511946" w14:textId="17F50895" w:rsidR="00646F55" w:rsidRPr="00646F55" w:rsidRDefault="00646F55" w:rsidP="00646F55">
      <w:pPr>
        <w:pStyle w:val="Prrafodelista"/>
        <w:numPr>
          <w:ilvl w:val="0"/>
          <w:numId w:val="5"/>
        </w:numPr>
        <w:ind w:left="284" w:hanging="284"/>
        <w:jc w:val="both"/>
        <w:rPr>
          <w:rFonts w:ascii="Century Gothic" w:hAnsi="Century Gothic" w:cs="Times New Roman"/>
          <w:color w:val="595959" w:themeColor="text1" w:themeTint="A6"/>
          <w:sz w:val="16"/>
          <w:szCs w:val="20"/>
          <w:lang w:eastAsia="es-ES_tradnl"/>
        </w:rPr>
      </w:pPr>
      <w:r w:rsidRPr="00646F55">
        <w:rPr>
          <w:rFonts w:ascii="Century Gothic" w:hAnsi="Century Gothic" w:cs="Times New Roman"/>
          <w:color w:val="595959" w:themeColor="text1" w:themeTint="A6"/>
          <w:sz w:val="16"/>
          <w:szCs w:val="20"/>
          <w:lang w:eastAsia="es-ES_tradnl"/>
        </w:rPr>
        <w:t>Área geográfica investigada: territorio continental ecuatoriano. Los resultados no son representativos a nivel geográfico, pues el diseño muestral no se conglomera por unidades administrativas geográficas –como parroquias o cantones-.</w:t>
      </w:r>
    </w:p>
    <w:p w14:paraId="7B434F6B" w14:textId="5FE16747" w:rsidR="00646F55" w:rsidRPr="00646F55" w:rsidRDefault="00646F55" w:rsidP="00646F55">
      <w:pPr>
        <w:pStyle w:val="Prrafodelista"/>
        <w:numPr>
          <w:ilvl w:val="0"/>
          <w:numId w:val="5"/>
        </w:numPr>
        <w:ind w:left="284" w:hanging="284"/>
        <w:jc w:val="both"/>
        <w:rPr>
          <w:rFonts w:ascii="Century Gothic" w:hAnsi="Century Gothic" w:cs="Times New Roman"/>
          <w:color w:val="595959" w:themeColor="text1" w:themeTint="A6"/>
          <w:sz w:val="16"/>
          <w:szCs w:val="20"/>
          <w:lang w:eastAsia="es-ES_tradnl"/>
        </w:rPr>
      </w:pPr>
      <w:r w:rsidRPr="00646F55">
        <w:rPr>
          <w:rFonts w:ascii="Century Gothic" w:hAnsi="Century Gothic" w:cs="Times New Roman"/>
          <w:color w:val="595959" w:themeColor="text1" w:themeTint="A6"/>
          <w:sz w:val="16"/>
          <w:szCs w:val="20"/>
          <w:lang w:eastAsia="es-ES_tradnl"/>
        </w:rPr>
        <w:t xml:space="preserve">Representatividad de los resultados: A nivel nacional. Sin embargo, en la mayoría de variables se tiene representatividad a nivel de actividad económica, dependiendo del nivel de respuesta de las mismas y de la cantidad de empresas efectivas que debían responder obligatoriamente a las variables investigadas. </w:t>
      </w:r>
    </w:p>
    <w:p w14:paraId="604AB687" w14:textId="4671AD89" w:rsidR="00646F55" w:rsidRPr="00646F55" w:rsidRDefault="00646F55" w:rsidP="00646F55">
      <w:pPr>
        <w:pStyle w:val="Prrafodelista"/>
        <w:numPr>
          <w:ilvl w:val="0"/>
          <w:numId w:val="5"/>
        </w:numPr>
        <w:ind w:left="284" w:hanging="284"/>
        <w:jc w:val="both"/>
        <w:rPr>
          <w:rFonts w:ascii="Century Gothic" w:hAnsi="Century Gothic" w:cs="Times New Roman"/>
          <w:color w:val="595959" w:themeColor="text1" w:themeTint="A6"/>
          <w:sz w:val="16"/>
          <w:szCs w:val="20"/>
          <w:lang w:eastAsia="es-ES_tradnl"/>
        </w:rPr>
      </w:pPr>
      <w:r w:rsidRPr="00646F55">
        <w:rPr>
          <w:rFonts w:ascii="Century Gothic" w:hAnsi="Century Gothic" w:cs="Times New Roman"/>
          <w:color w:val="595959" w:themeColor="text1" w:themeTint="A6"/>
          <w:sz w:val="16"/>
          <w:szCs w:val="20"/>
          <w:lang w:eastAsia="es-ES_tradnl"/>
        </w:rPr>
        <w:t>Tasa de respuesta (después de aplicación de filtros de flujo): Mínima = 9</w:t>
      </w:r>
      <w:r w:rsidR="000345C9">
        <w:rPr>
          <w:rFonts w:ascii="Century Gothic" w:hAnsi="Century Gothic" w:cs="Times New Roman"/>
          <w:color w:val="595959" w:themeColor="text1" w:themeTint="A6"/>
          <w:sz w:val="16"/>
          <w:szCs w:val="20"/>
          <w:lang w:eastAsia="es-ES_tradnl"/>
        </w:rPr>
        <w:t>6</w:t>
      </w:r>
      <w:r w:rsidRPr="00646F55">
        <w:rPr>
          <w:rFonts w:ascii="Century Gothic" w:hAnsi="Century Gothic" w:cs="Times New Roman"/>
          <w:color w:val="595959" w:themeColor="text1" w:themeTint="A6"/>
          <w:sz w:val="16"/>
          <w:szCs w:val="20"/>
          <w:lang w:eastAsia="es-ES_tradnl"/>
        </w:rPr>
        <w:t>%, Máxima = 100%.</w:t>
      </w:r>
    </w:p>
    <w:p w14:paraId="2D494038" w14:textId="69993907" w:rsidR="00646F55" w:rsidRPr="00646F55" w:rsidRDefault="00646F55" w:rsidP="00646F55">
      <w:pPr>
        <w:pStyle w:val="Prrafodelista"/>
        <w:numPr>
          <w:ilvl w:val="0"/>
          <w:numId w:val="5"/>
        </w:numPr>
        <w:ind w:left="284" w:hanging="284"/>
        <w:jc w:val="both"/>
        <w:rPr>
          <w:rFonts w:ascii="Century Gothic" w:hAnsi="Century Gothic" w:cs="Times New Roman"/>
          <w:color w:val="595959" w:themeColor="text1" w:themeTint="A6"/>
          <w:sz w:val="16"/>
          <w:szCs w:val="20"/>
          <w:lang w:eastAsia="es-ES_tradnl"/>
        </w:rPr>
      </w:pPr>
      <w:r w:rsidRPr="00646F55">
        <w:rPr>
          <w:rFonts w:ascii="Century Gothic" w:hAnsi="Century Gothic" w:cs="Times New Roman"/>
          <w:color w:val="595959" w:themeColor="text1" w:themeTint="A6"/>
          <w:sz w:val="16"/>
          <w:szCs w:val="20"/>
          <w:lang w:eastAsia="es-ES_tradnl"/>
        </w:rPr>
        <w:t xml:space="preserve">Los resultados publicados y analizados de la operación tienen un rango de variabilidad que va desde el </w:t>
      </w:r>
      <w:r w:rsidR="00EE6184">
        <w:rPr>
          <w:rFonts w:ascii="Century Gothic" w:hAnsi="Century Gothic" w:cs="Times New Roman"/>
          <w:color w:val="595959" w:themeColor="text1" w:themeTint="A6"/>
          <w:sz w:val="16"/>
          <w:szCs w:val="20"/>
          <w:lang w:eastAsia="es-ES_tradnl"/>
        </w:rPr>
        <w:t>6</w:t>
      </w:r>
      <w:r w:rsidRPr="00646F55">
        <w:rPr>
          <w:rFonts w:ascii="Century Gothic" w:hAnsi="Century Gothic" w:cs="Times New Roman"/>
          <w:color w:val="595959" w:themeColor="text1" w:themeTint="A6"/>
          <w:sz w:val="16"/>
          <w:szCs w:val="20"/>
          <w:lang w:eastAsia="es-ES_tradnl"/>
        </w:rPr>
        <w:t>% hasta el 3</w:t>
      </w:r>
      <w:r w:rsidR="00EE6184">
        <w:rPr>
          <w:rFonts w:ascii="Century Gothic" w:hAnsi="Century Gothic" w:cs="Times New Roman"/>
          <w:color w:val="595959" w:themeColor="text1" w:themeTint="A6"/>
          <w:sz w:val="16"/>
          <w:szCs w:val="20"/>
          <w:lang w:eastAsia="es-ES_tradnl"/>
        </w:rPr>
        <w:t>3</w:t>
      </w:r>
      <w:r w:rsidRPr="00646F55">
        <w:rPr>
          <w:rFonts w:ascii="Century Gothic" w:hAnsi="Century Gothic" w:cs="Times New Roman"/>
          <w:color w:val="595959" w:themeColor="text1" w:themeTint="A6"/>
          <w:sz w:val="16"/>
          <w:szCs w:val="20"/>
          <w:lang w:eastAsia="es-ES_tradnl"/>
        </w:rPr>
        <w:t>% -a nivel nacional- del valor del estimador del indicador –típicamente, el valor promedio o proporción de la población-, con una confianza estadística del 95%.</w:t>
      </w:r>
    </w:p>
    <w:p w14:paraId="6E3182C0" w14:textId="4BEED468" w:rsidR="00646F55" w:rsidRPr="00646F55" w:rsidRDefault="00646F55" w:rsidP="00646F55">
      <w:pPr>
        <w:jc w:val="both"/>
        <w:rPr>
          <w:rFonts w:ascii="Century Gothic" w:hAnsi="Century Gothic" w:cs="Times New Roman"/>
          <w:color w:val="595959" w:themeColor="text1" w:themeTint="A6"/>
          <w:sz w:val="16"/>
          <w:szCs w:val="20"/>
          <w:lang w:val="es-ES_tradnl" w:eastAsia="es-ES_tradnl"/>
        </w:rPr>
      </w:pPr>
    </w:p>
    <w:p w14:paraId="7C71FADB" w14:textId="70CD1039" w:rsidR="00646F55" w:rsidRPr="00646F55" w:rsidRDefault="00646F55" w:rsidP="00646F55">
      <w:pPr>
        <w:jc w:val="both"/>
        <w:rPr>
          <w:rFonts w:ascii="Century Gothic" w:hAnsi="Century Gothic" w:cs="Times New Roman"/>
          <w:color w:val="595959" w:themeColor="text1" w:themeTint="A6"/>
          <w:sz w:val="16"/>
          <w:szCs w:val="20"/>
          <w:lang w:val="es-ES_tradnl" w:eastAsia="es-ES_tradnl"/>
        </w:rPr>
      </w:pPr>
      <w:r w:rsidRPr="00646F55">
        <w:rPr>
          <w:rFonts w:ascii="Century Gothic" w:hAnsi="Century Gothic" w:cs="Times New Roman"/>
          <w:i/>
          <w:color w:val="595959" w:themeColor="text1" w:themeTint="A6"/>
          <w:sz w:val="16"/>
          <w:szCs w:val="20"/>
          <w:lang w:val="es-ES_tradnl" w:eastAsia="es-ES_tradnl"/>
        </w:rPr>
        <w:t>Limitaciones de los resultados o datos:</w:t>
      </w:r>
      <w:r w:rsidRPr="00646F55">
        <w:rPr>
          <w:rFonts w:ascii="Century Gothic" w:hAnsi="Century Gothic" w:cs="Times New Roman"/>
          <w:color w:val="595959" w:themeColor="text1" w:themeTint="A6"/>
          <w:sz w:val="16"/>
          <w:szCs w:val="20"/>
          <w:lang w:val="es-ES_tradnl" w:eastAsia="es-ES_tradnl"/>
        </w:rPr>
        <w:t xml:space="preserve"> los resultados obtenidos en la edición 20</w:t>
      </w:r>
      <w:r w:rsidR="00476546">
        <w:rPr>
          <w:rFonts w:ascii="Century Gothic" w:hAnsi="Century Gothic" w:cs="Times New Roman"/>
          <w:color w:val="595959" w:themeColor="text1" w:themeTint="A6"/>
          <w:sz w:val="16"/>
          <w:szCs w:val="20"/>
          <w:lang w:val="es-ES_tradnl" w:eastAsia="es-ES_tradnl"/>
        </w:rPr>
        <w:t>2</w:t>
      </w:r>
      <w:r w:rsidR="00A85A28">
        <w:rPr>
          <w:rFonts w:ascii="Century Gothic" w:hAnsi="Century Gothic" w:cs="Times New Roman"/>
          <w:color w:val="595959" w:themeColor="text1" w:themeTint="A6"/>
          <w:sz w:val="16"/>
          <w:szCs w:val="20"/>
          <w:lang w:val="es-ES_tradnl" w:eastAsia="es-ES_tradnl"/>
        </w:rPr>
        <w:t>1</w:t>
      </w:r>
      <w:r w:rsidRPr="00646F55">
        <w:rPr>
          <w:rFonts w:ascii="Century Gothic" w:hAnsi="Century Gothic" w:cs="Times New Roman"/>
          <w:color w:val="595959" w:themeColor="text1" w:themeTint="A6"/>
          <w:sz w:val="16"/>
          <w:szCs w:val="20"/>
          <w:lang w:val="es-ES_tradnl" w:eastAsia="es-ES_tradnl"/>
        </w:rPr>
        <w:t xml:space="preserve"> de la operación estadística son, en general, </w:t>
      </w:r>
      <w:r w:rsidR="00107B31">
        <w:rPr>
          <w:rFonts w:ascii="Century Gothic" w:hAnsi="Century Gothic" w:cs="Times New Roman"/>
          <w:color w:val="595959" w:themeColor="text1" w:themeTint="A6"/>
          <w:sz w:val="16"/>
          <w:szCs w:val="20"/>
          <w:lang w:val="es-ES_tradnl" w:eastAsia="es-ES_tradnl"/>
        </w:rPr>
        <w:t>m</w:t>
      </w:r>
      <w:r w:rsidR="00A85A28">
        <w:rPr>
          <w:rFonts w:ascii="Century Gothic" w:hAnsi="Century Gothic" w:cs="Times New Roman"/>
          <w:color w:val="595959" w:themeColor="text1" w:themeTint="A6"/>
          <w:sz w:val="16"/>
          <w:szCs w:val="20"/>
          <w:lang w:val="es-ES_tradnl" w:eastAsia="es-ES_tradnl"/>
        </w:rPr>
        <w:t>ay</w:t>
      </w:r>
      <w:r w:rsidR="00107B31">
        <w:rPr>
          <w:rFonts w:ascii="Century Gothic" w:hAnsi="Century Gothic" w:cs="Times New Roman"/>
          <w:color w:val="595959" w:themeColor="text1" w:themeTint="A6"/>
          <w:sz w:val="16"/>
          <w:szCs w:val="20"/>
          <w:lang w:val="es-ES_tradnl" w:eastAsia="es-ES_tradnl"/>
        </w:rPr>
        <w:t>or</w:t>
      </w:r>
      <w:r w:rsidRPr="00646F55">
        <w:rPr>
          <w:rFonts w:ascii="Century Gothic" w:hAnsi="Century Gothic" w:cs="Times New Roman"/>
          <w:color w:val="595959" w:themeColor="text1" w:themeTint="A6"/>
          <w:sz w:val="16"/>
          <w:szCs w:val="20"/>
          <w:lang w:val="es-ES_tradnl" w:eastAsia="es-ES_tradnl"/>
        </w:rPr>
        <w:t xml:space="preserve">es </w:t>
      </w:r>
      <w:r w:rsidR="00107B31">
        <w:rPr>
          <w:rFonts w:ascii="Century Gothic" w:hAnsi="Century Gothic" w:cs="Times New Roman"/>
          <w:color w:val="595959" w:themeColor="text1" w:themeTint="A6"/>
          <w:sz w:val="16"/>
          <w:szCs w:val="20"/>
          <w:lang w:val="es-ES_tradnl" w:eastAsia="es-ES_tradnl"/>
        </w:rPr>
        <w:t>que</w:t>
      </w:r>
      <w:r w:rsidRPr="00646F55">
        <w:rPr>
          <w:rFonts w:ascii="Century Gothic" w:hAnsi="Century Gothic" w:cs="Times New Roman"/>
          <w:color w:val="595959" w:themeColor="text1" w:themeTint="A6"/>
          <w:sz w:val="16"/>
          <w:szCs w:val="20"/>
          <w:lang w:val="es-ES_tradnl" w:eastAsia="es-ES_tradnl"/>
        </w:rPr>
        <w:t xml:space="preserve"> los de la edición </w:t>
      </w:r>
      <w:r w:rsidR="003540AD">
        <w:rPr>
          <w:rFonts w:ascii="Century Gothic" w:hAnsi="Century Gothic" w:cs="Times New Roman"/>
          <w:color w:val="595959" w:themeColor="text1" w:themeTint="A6"/>
          <w:sz w:val="16"/>
          <w:szCs w:val="20"/>
          <w:lang w:val="es-ES_tradnl" w:eastAsia="es-ES_tradnl"/>
        </w:rPr>
        <w:t>20</w:t>
      </w:r>
      <w:r w:rsidR="00A85A28">
        <w:rPr>
          <w:rFonts w:ascii="Century Gothic" w:hAnsi="Century Gothic" w:cs="Times New Roman"/>
          <w:color w:val="595959" w:themeColor="text1" w:themeTint="A6"/>
          <w:sz w:val="16"/>
          <w:szCs w:val="20"/>
          <w:lang w:val="es-ES_tradnl" w:eastAsia="es-ES_tradnl"/>
        </w:rPr>
        <w:t>20</w:t>
      </w:r>
      <w:r w:rsidR="00107B31">
        <w:rPr>
          <w:rFonts w:ascii="Century Gothic" w:hAnsi="Century Gothic" w:cs="Times New Roman"/>
          <w:color w:val="595959" w:themeColor="text1" w:themeTint="A6"/>
          <w:sz w:val="16"/>
          <w:szCs w:val="20"/>
          <w:lang w:val="es-ES_tradnl" w:eastAsia="es-ES_tradnl"/>
        </w:rPr>
        <w:t>, debido al paro</w:t>
      </w:r>
      <w:r w:rsidR="00A85A28">
        <w:rPr>
          <w:rFonts w:ascii="Century Gothic" w:hAnsi="Century Gothic" w:cs="Times New Roman"/>
          <w:color w:val="595959" w:themeColor="text1" w:themeTint="A6"/>
          <w:sz w:val="16"/>
          <w:szCs w:val="20"/>
          <w:lang w:val="es-ES_tradnl" w:eastAsia="es-ES_tradnl"/>
        </w:rPr>
        <w:t xml:space="preserve"> parcial</w:t>
      </w:r>
      <w:r w:rsidR="00107B31">
        <w:rPr>
          <w:rFonts w:ascii="Century Gothic" w:hAnsi="Century Gothic" w:cs="Times New Roman"/>
          <w:color w:val="595959" w:themeColor="text1" w:themeTint="A6"/>
          <w:sz w:val="16"/>
          <w:szCs w:val="20"/>
          <w:lang w:val="es-ES_tradnl" w:eastAsia="es-ES_tradnl"/>
        </w:rPr>
        <w:t xml:space="preserve"> del sector productivo por efecto de la pandemia de COVID-19</w:t>
      </w:r>
      <w:r w:rsidR="00A85A28">
        <w:rPr>
          <w:rFonts w:ascii="Century Gothic" w:hAnsi="Century Gothic" w:cs="Times New Roman"/>
          <w:color w:val="595959" w:themeColor="text1" w:themeTint="A6"/>
          <w:sz w:val="16"/>
          <w:szCs w:val="20"/>
          <w:lang w:val="es-ES_tradnl" w:eastAsia="es-ES_tradnl"/>
        </w:rPr>
        <w:t xml:space="preserve"> en el año 2020</w:t>
      </w:r>
      <w:r w:rsidRPr="00646F55">
        <w:rPr>
          <w:rFonts w:ascii="Century Gothic" w:hAnsi="Century Gothic" w:cs="Times New Roman"/>
          <w:color w:val="595959" w:themeColor="text1" w:themeTint="A6"/>
          <w:sz w:val="16"/>
          <w:szCs w:val="20"/>
          <w:lang w:val="es-ES_tradnl" w:eastAsia="es-ES_tradnl"/>
        </w:rPr>
        <w:t xml:space="preserve">. </w:t>
      </w:r>
      <w:r w:rsidR="00A85A28">
        <w:rPr>
          <w:rFonts w:ascii="Century Gothic" w:hAnsi="Century Gothic" w:cs="Times New Roman"/>
          <w:color w:val="595959" w:themeColor="text1" w:themeTint="A6"/>
          <w:sz w:val="16"/>
          <w:szCs w:val="20"/>
          <w:lang w:val="es-ES_tradnl" w:eastAsia="es-ES_tradnl"/>
        </w:rPr>
        <w:t>E</w:t>
      </w:r>
      <w:r w:rsidRPr="00646F55">
        <w:rPr>
          <w:rFonts w:ascii="Century Gothic" w:hAnsi="Century Gothic" w:cs="Times New Roman"/>
          <w:color w:val="595959" w:themeColor="text1" w:themeTint="A6"/>
          <w:sz w:val="16"/>
          <w:szCs w:val="20"/>
          <w:lang w:val="es-ES_tradnl" w:eastAsia="es-ES_tradnl"/>
        </w:rPr>
        <w:t xml:space="preserve">n </w:t>
      </w:r>
      <w:r w:rsidR="00A85A28">
        <w:rPr>
          <w:rFonts w:ascii="Century Gothic" w:hAnsi="Century Gothic" w:cs="Times New Roman"/>
          <w:color w:val="595959" w:themeColor="text1" w:themeTint="A6"/>
          <w:sz w:val="16"/>
          <w:szCs w:val="20"/>
          <w:lang w:val="es-ES_tradnl" w:eastAsia="es-ES_tradnl"/>
        </w:rPr>
        <w:t>ciert</w:t>
      </w:r>
      <w:r w:rsidRPr="00646F55">
        <w:rPr>
          <w:rFonts w:ascii="Century Gothic" w:hAnsi="Century Gothic" w:cs="Times New Roman"/>
          <w:color w:val="595959" w:themeColor="text1" w:themeTint="A6"/>
          <w:sz w:val="16"/>
          <w:szCs w:val="20"/>
          <w:lang w:val="es-ES_tradnl" w:eastAsia="es-ES_tradnl"/>
        </w:rPr>
        <w:t>as desagregaciones a nivel de actividad económic</w:t>
      </w:r>
      <w:r w:rsidR="00A85A28">
        <w:rPr>
          <w:rFonts w:ascii="Century Gothic" w:hAnsi="Century Gothic" w:cs="Times New Roman"/>
          <w:color w:val="595959" w:themeColor="text1" w:themeTint="A6"/>
          <w:sz w:val="16"/>
          <w:szCs w:val="20"/>
          <w:lang w:val="es-ES_tradnl" w:eastAsia="es-ES_tradnl"/>
        </w:rPr>
        <w:t>a</w:t>
      </w:r>
      <w:r w:rsidRPr="00646F55">
        <w:rPr>
          <w:rFonts w:ascii="Century Gothic" w:hAnsi="Century Gothic" w:cs="Times New Roman"/>
          <w:color w:val="595959" w:themeColor="text1" w:themeTint="A6"/>
          <w:sz w:val="16"/>
          <w:szCs w:val="20"/>
          <w:lang w:val="es-ES_tradnl" w:eastAsia="es-ES_tradnl"/>
        </w:rPr>
        <w:t>, la variabilidad máxima interanual sobrepasa el 3</w:t>
      </w:r>
      <w:r w:rsidR="00A85A28">
        <w:rPr>
          <w:rFonts w:ascii="Century Gothic" w:hAnsi="Century Gothic" w:cs="Times New Roman"/>
          <w:color w:val="595959" w:themeColor="text1" w:themeTint="A6"/>
          <w:sz w:val="16"/>
          <w:szCs w:val="20"/>
          <w:lang w:val="es-ES_tradnl" w:eastAsia="es-ES_tradnl"/>
        </w:rPr>
        <w:t>1</w:t>
      </w:r>
      <w:r w:rsidRPr="00646F55">
        <w:rPr>
          <w:rFonts w:ascii="Century Gothic" w:hAnsi="Century Gothic" w:cs="Times New Roman"/>
          <w:color w:val="595959" w:themeColor="text1" w:themeTint="A6"/>
          <w:sz w:val="16"/>
          <w:szCs w:val="20"/>
          <w:lang w:val="es-ES_tradnl" w:eastAsia="es-ES_tradnl"/>
        </w:rPr>
        <w:t>% obtenida a nivel nacional</w:t>
      </w:r>
      <w:r w:rsidR="00107B31">
        <w:rPr>
          <w:rFonts w:ascii="Century Gothic" w:hAnsi="Century Gothic" w:cs="Times New Roman"/>
          <w:color w:val="595959" w:themeColor="text1" w:themeTint="A6"/>
          <w:sz w:val="16"/>
          <w:szCs w:val="20"/>
          <w:lang w:val="es-ES_tradnl" w:eastAsia="es-ES_tradnl"/>
        </w:rPr>
        <w:t xml:space="preserve"> (sin el efecto pandémico)</w:t>
      </w:r>
      <w:r w:rsidRPr="00646F55">
        <w:rPr>
          <w:rFonts w:ascii="Century Gothic" w:hAnsi="Century Gothic" w:cs="Times New Roman"/>
          <w:color w:val="595959" w:themeColor="text1" w:themeTint="A6"/>
          <w:sz w:val="16"/>
          <w:szCs w:val="20"/>
          <w:lang w:val="es-ES_tradnl" w:eastAsia="es-ES_tradnl"/>
        </w:rPr>
        <w:t xml:space="preserve">. Esta limitación se debe al tipo de diseño muestral, el cual se optimiza para la variable </w:t>
      </w:r>
      <w:r w:rsidRPr="00646F55">
        <w:rPr>
          <w:rFonts w:ascii="Century Gothic" w:hAnsi="Century Gothic" w:cs="Times New Roman"/>
          <w:i/>
          <w:color w:val="595959" w:themeColor="text1" w:themeTint="A6"/>
          <w:sz w:val="16"/>
          <w:szCs w:val="20"/>
          <w:lang w:val="es-ES_tradnl" w:eastAsia="es-ES_tradnl"/>
        </w:rPr>
        <w:t>Ventas Declaradas</w:t>
      </w:r>
      <w:r w:rsidRPr="00646F55">
        <w:rPr>
          <w:rFonts w:ascii="Century Gothic" w:hAnsi="Century Gothic" w:cs="Times New Roman"/>
          <w:color w:val="595959" w:themeColor="text1" w:themeTint="A6"/>
          <w:sz w:val="16"/>
          <w:szCs w:val="20"/>
          <w:lang w:val="es-ES_tradnl" w:eastAsia="es-ES_tradnl"/>
        </w:rPr>
        <w:t xml:space="preserve"> de la empresa. Así, toda variable correlacionada con ventas tendrá variabilidades más bajas, </w:t>
      </w:r>
      <w:r w:rsidR="00872B2E">
        <w:rPr>
          <w:rFonts w:ascii="Century Gothic" w:hAnsi="Century Gothic" w:cs="Times New Roman"/>
          <w:color w:val="595959" w:themeColor="text1" w:themeTint="A6"/>
          <w:sz w:val="16"/>
          <w:szCs w:val="20"/>
          <w:lang w:val="es-ES_tradnl" w:eastAsia="es-ES_tradnl"/>
        </w:rPr>
        <w:t>por ende,</w:t>
      </w:r>
      <w:r w:rsidRPr="00646F55">
        <w:rPr>
          <w:rFonts w:ascii="Century Gothic" w:hAnsi="Century Gothic" w:cs="Times New Roman"/>
          <w:color w:val="595959" w:themeColor="text1" w:themeTint="A6"/>
          <w:sz w:val="16"/>
          <w:szCs w:val="20"/>
          <w:lang w:val="es-ES_tradnl" w:eastAsia="es-ES_tradnl"/>
        </w:rPr>
        <w:t xml:space="preserve"> resultados más robustos.</w:t>
      </w:r>
    </w:p>
    <w:p w14:paraId="3BB18E2F" w14:textId="5BA8C4A2" w:rsidR="00646F55" w:rsidRPr="00646F55" w:rsidRDefault="00646F55" w:rsidP="00646F55">
      <w:pPr>
        <w:jc w:val="both"/>
        <w:rPr>
          <w:rFonts w:ascii="Century Gothic" w:hAnsi="Century Gothic" w:cs="Times New Roman"/>
          <w:color w:val="595959" w:themeColor="text1" w:themeTint="A6"/>
          <w:sz w:val="16"/>
          <w:szCs w:val="20"/>
          <w:lang w:val="es-ES_tradnl" w:eastAsia="es-ES_tradnl"/>
        </w:rPr>
      </w:pPr>
    </w:p>
    <w:p w14:paraId="25A866D6" w14:textId="6D01893D" w:rsidR="00646F55" w:rsidRDefault="00646F55" w:rsidP="00646F55">
      <w:pPr>
        <w:jc w:val="both"/>
        <w:rPr>
          <w:rFonts w:ascii="Century Gothic" w:hAnsi="Century Gothic" w:cs="Times New Roman"/>
          <w:color w:val="595959" w:themeColor="text1" w:themeTint="A6"/>
          <w:sz w:val="16"/>
          <w:szCs w:val="20"/>
          <w:lang w:val="es-ES_tradnl" w:eastAsia="es-ES_tradnl"/>
        </w:rPr>
      </w:pPr>
      <w:r w:rsidRPr="00646F55">
        <w:rPr>
          <w:rFonts w:ascii="Century Gothic" w:hAnsi="Century Gothic" w:cs="Times New Roman"/>
          <w:i/>
          <w:color w:val="595959" w:themeColor="text1" w:themeTint="A6"/>
          <w:sz w:val="16"/>
          <w:szCs w:val="20"/>
          <w:lang w:val="es-ES_tradnl" w:eastAsia="es-ES_tradnl"/>
        </w:rPr>
        <w:t>Para mayor información:</w:t>
      </w:r>
      <w:r w:rsidRPr="00646F55">
        <w:rPr>
          <w:rFonts w:ascii="Century Gothic" w:hAnsi="Century Gothic" w:cs="Times New Roman"/>
          <w:color w:val="595959" w:themeColor="text1" w:themeTint="A6"/>
          <w:sz w:val="16"/>
          <w:szCs w:val="20"/>
          <w:lang w:val="es-ES_tradnl" w:eastAsia="es-ES_tradnl"/>
        </w:rPr>
        <w:t xml:space="preserve"> favor referirse al documento </w:t>
      </w:r>
      <w:sdt>
        <w:sdtPr>
          <w:rPr>
            <w:rFonts w:ascii="Century Gothic" w:hAnsi="Century Gothic" w:cs="Times New Roman"/>
            <w:color w:val="595959" w:themeColor="text1" w:themeTint="A6"/>
            <w:sz w:val="16"/>
            <w:szCs w:val="20"/>
            <w:lang w:val="es-ES_tradnl" w:eastAsia="es-ES_tradnl"/>
          </w:rPr>
          <w:id w:val="-1514836030"/>
          <w:citation/>
        </w:sdtPr>
        <w:sdtEndPr/>
        <w:sdtContent>
          <w:r w:rsidRPr="00646F55">
            <w:rPr>
              <w:rFonts w:ascii="Century Gothic" w:hAnsi="Century Gothic" w:cs="Times New Roman"/>
              <w:color w:val="595959" w:themeColor="text1" w:themeTint="A6"/>
              <w:sz w:val="16"/>
              <w:szCs w:val="20"/>
              <w:lang w:val="es-ES_tradnl" w:eastAsia="es-ES_tradnl"/>
            </w:rPr>
            <w:fldChar w:fldCharType="begin"/>
          </w:r>
          <w:r w:rsidR="000A66AF">
            <w:rPr>
              <w:rFonts w:ascii="Century Gothic" w:hAnsi="Century Gothic" w:cs="Times New Roman"/>
              <w:color w:val="595959" w:themeColor="text1" w:themeTint="A6"/>
              <w:sz w:val="16"/>
              <w:szCs w:val="20"/>
              <w:lang w:val="es-ES_tradnl" w:eastAsia="es-ES_tradnl"/>
            </w:rPr>
            <w:instrText xml:space="preserve">CITATION DEC23 \l 20490 </w:instrText>
          </w:r>
          <w:r w:rsidRPr="00646F55">
            <w:rPr>
              <w:rFonts w:ascii="Century Gothic" w:hAnsi="Century Gothic" w:cs="Times New Roman"/>
              <w:color w:val="595959" w:themeColor="text1" w:themeTint="A6"/>
              <w:sz w:val="16"/>
              <w:szCs w:val="20"/>
              <w:lang w:val="es-ES_tradnl" w:eastAsia="es-ES_tradnl"/>
            </w:rPr>
            <w:fldChar w:fldCharType="separate"/>
          </w:r>
          <w:r w:rsidR="000A66AF" w:rsidRPr="000A66AF">
            <w:rPr>
              <w:rFonts w:ascii="Century Gothic" w:hAnsi="Century Gothic" w:cs="Times New Roman"/>
              <w:noProof/>
              <w:color w:val="595959" w:themeColor="text1" w:themeTint="A6"/>
              <w:sz w:val="16"/>
              <w:szCs w:val="20"/>
              <w:lang w:val="es-ES_tradnl" w:eastAsia="es-ES_tradnl"/>
            </w:rPr>
            <w:t>(INEC, 2023)</w:t>
          </w:r>
          <w:r w:rsidRPr="00646F55">
            <w:rPr>
              <w:rFonts w:ascii="Century Gothic" w:hAnsi="Century Gothic" w:cs="Times New Roman"/>
              <w:color w:val="595959" w:themeColor="text1" w:themeTint="A6"/>
              <w:sz w:val="16"/>
              <w:szCs w:val="20"/>
              <w:lang w:val="es-ES_tradnl" w:eastAsia="es-ES_tradnl"/>
            </w:rPr>
            <w:fldChar w:fldCharType="end"/>
          </w:r>
        </w:sdtContent>
      </w:sdt>
      <w:r w:rsidRPr="00646F55">
        <w:rPr>
          <w:rFonts w:ascii="Century Gothic" w:hAnsi="Century Gothic" w:cs="Times New Roman"/>
          <w:color w:val="595959" w:themeColor="text1" w:themeTint="A6"/>
          <w:sz w:val="16"/>
          <w:szCs w:val="20"/>
          <w:lang w:val="es-ES_tradnl" w:eastAsia="es-ES_tradnl"/>
        </w:rPr>
        <w:t xml:space="preserve"> con respecto a los temas de diseño muestral, levantamiento y cobertura.</w:t>
      </w:r>
    </w:p>
    <w:p w14:paraId="487DD757" w14:textId="72CC2382" w:rsidR="00646F55" w:rsidRPr="00AD2415" w:rsidRDefault="00646F55" w:rsidP="00646F55">
      <w:pPr>
        <w:jc w:val="both"/>
        <w:rPr>
          <w:rFonts w:ascii="Century Gothic" w:hAnsi="Century Gothic" w:cs="Times New Roman"/>
          <w:color w:val="595959" w:themeColor="text1" w:themeTint="A6"/>
          <w:sz w:val="18"/>
          <w:szCs w:val="18"/>
          <w:lang w:val="es-ES_tradnl" w:eastAsia="es-ES_tradnl"/>
        </w:rPr>
      </w:pPr>
    </w:p>
    <w:p w14:paraId="05787BD5" w14:textId="5C0B68C2" w:rsidR="00646F55" w:rsidRPr="007B1E22" w:rsidRDefault="00646F55" w:rsidP="00646F55">
      <w:pPr>
        <w:jc w:val="both"/>
        <w:rPr>
          <w:rFonts w:ascii="Century Gothic" w:hAnsi="Century Gothic" w:cs="Times New Roman"/>
          <w:sz w:val="21"/>
          <w:szCs w:val="21"/>
          <w:lang w:val="es-ES_tradnl" w:eastAsia="es-ES_tradnl"/>
        </w:rPr>
      </w:pPr>
      <w:r w:rsidRPr="007B1E22">
        <w:rPr>
          <w:rFonts w:ascii="Century Gothic" w:hAnsi="Century Gothic" w:cs="Times New Roman"/>
          <w:sz w:val="21"/>
          <w:szCs w:val="21"/>
          <w:lang w:val="es-ES_tradnl" w:eastAsia="es-ES_tradnl"/>
        </w:rPr>
        <w:t>Los resultados obtenidos a partir de las variables investigadas se desagregarán para aquellas actividades económicas que tengan un nivel mínimo de representatividad del 80% por actividad económica, con respecto al marco muestral.</w:t>
      </w:r>
      <w:r w:rsidR="007B1E22" w:rsidRPr="007B1E22">
        <w:rPr>
          <w:rFonts w:ascii="Century Gothic" w:hAnsi="Century Gothic" w:cs="Times New Roman"/>
          <w:b/>
          <w:noProof/>
          <w:color w:val="595959" w:themeColor="text1" w:themeTint="A6"/>
          <w:sz w:val="21"/>
          <w:szCs w:val="21"/>
          <w:lang w:val="es-PR" w:eastAsia="es-PR"/>
        </w:rPr>
        <w:t xml:space="preserve"> </w:t>
      </w:r>
    </w:p>
    <w:p w14:paraId="7A3356D8" w14:textId="77777777" w:rsidR="00646F55" w:rsidRPr="000D670F" w:rsidRDefault="00646F55" w:rsidP="00646F55">
      <w:pPr>
        <w:pStyle w:val="Ttulo1"/>
        <w:rPr>
          <w:rFonts w:ascii="Century Gothic" w:eastAsiaTheme="minorHAnsi" w:hAnsi="Century Gothic" w:cstheme="minorBidi"/>
          <w:color w:val="646482"/>
          <w:lang w:val="es-EC" w:eastAsia="en-US" w:bidi="ar-SA"/>
        </w:rPr>
      </w:pPr>
      <w:bookmarkStart w:id="5" w:name="_Toc132722340"/>
      <w:r w:rsidRPr="000D670F">
        <w:rPr>
          <w:rFonts w:ascii="Century Gothic" w:eastAsiaTheme="minorHAnsi" w:hAnsi="Century Gothic" w:cstheme="minorBidi"/>
          <w:color w:val="646482"/>
          <w:lang w:val="es-EC" w:eastAsia="en-US" w:bidi="ar-SA"/>
        </w:rPr>
        <w:t>Principales resultados</w:t>
      </w:r>
      <w:bookmarkEnd w:id="5"/>
    </w:p>
    <w:p w14:paraId="1E978CB7" w14:textId="77777777" w:rsidR="00646F55" w:rsidRPr="00646F55" w:rsidRDefault="00646F55" w:rsidP="00646F55">
      <w:pPr>
        <w:rPr>
          <w:rFonts w:ascii="Century Gothic" w:hAnsi="Century Gothic" w:cs="Calibri"/>
          <w:b/>
          <w:color w:val="595959" w:themeColor="text1" w:themeTint="A6"/>
        </w:rPr>
      </w:pPr>
    </w:p>
    <w:p w14:paraId="36FDFFDA" w14:textId="4B196A96" w:rsidR="00646F55" w:rsidRPr="000D670F" w:rsidRDefault="00646F55" w:rsidP="00646F55">
      <w:pPr>
        <w:rPr>
          <w:rFonts w:ascii="Century Gothic" w:hAnsi="Century Gothic" w:cs="Calibri"/>
          <w:b/>
          <w:color w:val="767171" w:themeColor="background2" w:themeShade="80"/>
        </w:rPr>
      </w:pPr>
      <w:r w:rsidRPr="000D670F">
        <w:rPr>
          <w:rFonts w:ascii="Century Gothic" w:hAnsi="Century Gothic" w:cs="Calibri"/>
          <w:b/>
          <w:color w:val="767171" w:themeColor="background2" w:themeShade="80"/>
        </w:rPr>
        <w:t>Impacto</w:t>
      </w:r>
      <w:r w:rsidRPr="000D670F">
        <w:rPr>
          <w:rFonts w:ascii="Century Gothic" w:hAnsi="Century Gothic" w:cs="Calibri"/>
          <w:b/>
          <w:color w:val="767171" w:themeColor="background2" w:themeShade="80"/>
          <w:sz w:val="20"/>
        </w:rPr>
        <w:t xml:space="preserve"> </w:t>
      </w:r>
      <w:r w:rsidRPr="000D670F">
        <w:rPr>
          <w:rFonts w:ascii="Century Gothic" w:hAnsi="Century Gothic" w:cs="Calibri"/>
          <w:b/>
          <w:color w:val="767171" w:themeColor="background2" w:themeShade="80"/>
        </w:rPr>
        <w:t>Ambiental</w:t>
      </w:r>
      <w:r w:rsidRPr="000D670F">
        <w:rPr>
          <w:rFonts w:ascii="Century Gothic" w:hAnsi="Century Gothic" w:cs="Calibri"/>
          <w:b/>
          <w:color w:val="767171" w:themeColor="background2" w:themeShade="80"/>
          <w:sz w:val="20"/>
        </w:rPr>
        <w:t xml:space="preserve"> </w:t>
      </w:r>
      <w:r w:rsidRPr="000D670F">
        <w:rPr>
          <w:rFonts w:ascii="Century Gothic" w:hAnsi="Century Gothic" w:cs="Calibri"/>
          <w:b/>
          <w:color w:val="767171" w:themeColor="background2" w:themeShade="80"/>
        </w:rPr>
        <w:t>a</w:t>
      </w:r>
      <w:r w:rsidR="00582DFA">
        <w:rPr>
          <w:rFonts w:ascii="Century Gothic" w:hAnsi="Century Gothic" w:cs="Calibri"/>
          <w:b/>
          <w:color w:val="767171" w:themeColor="background2" w:themeShade="80"/>
        </w:rPr>
        <w:t>gregado</w:t>
      </w:r>
    </w:p>
    <w:p w14:paraId="494D30F3" w14:textId="77777777" w:rsidR="00646F55" w:rsidRPr="00646F55" w:rsidRDefault="00646F55" w:rsidP="00646F55">
      <w:pPr>
        <w:rPr>
          <w:rFonts w:ascii="Century Gothic" w:hAnsi="Century Gothic" w:cs="Calibri"/>
          <w:b/>
          <w:color w:val="595959" w:themeColor="text1" w:themeTint="A6"/>
        </w:rPr>
      </w:pPr>
    </w:p>
    <w:p w14:paraId="315BC38E" w14:textId="6FF8114E" w:rsidR="00646F55" w:rsidRDefault="00646F55" w:rsidP="00646F55">
      <w:pPr>
        <w:jc w:val="both"/>
        <w:rPr>
          <w:rFonts w:ascii="Century Gothic" w:hAnsi="Century Gothic" w:cs="Times New Roman"/>
          <w:sz w:val="21"/>
          <w:szCs w:val="21"/>
          <w:lang w:val="es-ES_tradnl" w:eastAsia="es-ES_tradnl"/>
        </w:rPr>
      </w:pPr>
      <w:r w:rsidRPr="007B1E22">
        <w:rPr>
          <w:rFonts w:ascii="Century Gothic" w:hAnsi="Century Gothic" w:cs="Times New Roman"/>
          <w:sz w:val="21"/>
          <w:szCs w:val="21"/>
          <w:lang w:val="es-ES_tradnl" w:eastAsia="es-ES_tradnl"/>
        </w:rPr>
        <w:t xml:space="preserve">Uno de los resultados más importantes, al tiempo que una innovación útil para evaluar el efecto global de las empresas en el ambiente, consiste en la medida de </w:t>
      </w:r>
      <w:r w:rsidRPr="007B1E22">
        <w:rPr>
          <w:rFonts w:ascii="Century Gothic" w:hAnsi="Century Gothic"/>
          <w:b/>
          <w:color w:val="538135" w:themeColor="accent6" w:themeShade="BF"/>
          <w:sz w:val="21"/>
          <w:szCs w:val="21"/>
          <w:lang w:val="es-PR"/>
        </w:rPr>
        <w:t>Impacto Ambiental</w:t>
      </w:r>
      <w:r w:rsidRPr="007B1E22">
        <w:rPr>
          <w:rFonts w:ascii="Century Gothic" w:hAnsi="Century Gothic" w:cs="Times New Roman"/>
          <w:sz w:val="21"/>
          <w:szCs w:val="21"/>
          <w:lang w:val="es-ES_tradnl" w:eastAsia="es-ES_tradnl"/>
        </w:rPr>
        <w:t xml:space="preserve"> de las empresas. Se entiende por </w:t>
      </w:r>
      <w:r w:rsidRPr="007B1E22">
        <w:rPr>
          <w:rFonts w:ascii="Century Gothic" w:hAnsi="Century Gothic"/>
          <w:b/>
          <w:color w:val="538135" w:themeColor="accent6" w:themeShade="BF"/>
          <w:sz w:val="21"/>
          <w:szCs w:val="21"/>
          <w:lang w:val="es-PR"/>
        </w:rPr>
        <w:t>Impacto Ambiental</w:t>
      </w:r>
      <w:r w:rsidRPr="007B1E22">
        <w:rPr>
          <w:rFonts w:ascii="Century Gothic" w:hAnsi="Century Gothic" w:cs="Times New Roman"/>
          <w:sz w:val="21"/>
          <w:szCs w:val="21"/>
          <w:lang w:val="es-ES_tradnl" w:eastAsia="es-ES_tradnl"/>
        </w:rPr>
        <w:t xml:space="preserve"> de las empresas a </w:t>
      </w:r>
      <w:r w:rsidRPr="007B1E22">
        <w:rPr>
          <w:rFonts w:ascii="Century Gothic" w:hAnsi="Century Gothic" w:cs="Times New Roman"/>
          <w:sz w:val="21"/>
          <w:szCs w:val="21"/>
          <w:lang w:val="es-ES_tradnl" w:eastAsia="es-ES_tradnl"/>
        </w:rPr>
        <w:lastRenderedPageBreak/>
        <w:t>toda afectación perjudicial al ambiente provocada por sus procesos/productos, así como al desperdicio de recursos como energía, agua, aire, fauna y flora.</w:t>
      </w:r>
    </w:p>
    <w:p w14:paraId="1ABCBDC5" w14:textId="77777777" w:rsidR="005F616F" w:rsidRDefault="005F616F" w:rsidP="00646F55">
      <w:pPr>
        <w:jc w:val="both"/>
        <w:rPr>
          <w:rFonts w:ascii="Century Gothic" w:hAnsi="Century Gothic" w:cs="Times New Roman"/>
          <w:sz w:val="21"/>
          <w:szCs w:val="21"/>
          <w:lang w:val="es-ES_tradnl" w:eastAsia="es-ES_tradnl"/>
        </w:rPr>
      </w:pPr>
    </w:p>
    <w:p w14:paraId="7FDA53E7" w14:textId="77777777" w:rsidR="00646F55" w:rsidRPr="007B1E22" w:rsidRDefault="00646F55" w:rsidP="00646F55">
      <w:pPr>
        <w:jc w:val="both"/>
        <w:rPr>
          <w:rFonts w:ascii="Century Gothic" w:hAnsi="Century Gothic" w:cs="Times New Roman"/>
          <w:sz w:val="21"/>
          <w:szCs w:val="21"/>
          <w:lang w:val="es-ES_tradnl" w:eastAsia="es-ES_tradnl"/>
        </w:rPr>
      </w:pPr>
      <w:r w:rsidRPr="007B1E22">
        <w:rPr>
          <w:rFonts w:ascii="Century Gothic" w:hAnsi="Century Gothic" w:cs="Times New Roman"/>
          <w:sz w:val="21"/>
          <w:szCs w:val="21"/>
          <w:lang w:val="es-ES_tradnl" w:eastAsia="es-ES_tradnl"/>
        </w:rPr>
        <w:t>Se trata de un agregado aditivo del logaritmo decimal de las variables de escala –p.ej., costo y gasto ambiental; personal ambiental; producción, inversión y gasto corriente ambientales; energía consumida (eléctrica y de combustibles derivados del petróleo); agua consumida; aguas residuales; residuos</w:t>
      </w:r>
      <w:r w:rsidRPr="007B1E22">
        <w:rPr>
          <w:rStyle w:val="Refdenotaalpie"/>
          <w:rFonts w:ascii="Century Gothic" w:hAnsi="Century Gothic" w:cs="Times New Roman"/>
          <w:sz w:val="21"/>
          <w:szCs w:val="21"/>
          <w:lang w:val="es-ES_tradnl" w:eastAsia="es-ES_tradnl"/>
        </w:rPr>
        <w:footnoteReference w:id="5"/>
      </w:r>
      <w:r w:rsidRPr="007B1E22">
        <w:rPr>
          <w:rFonts w:ascii="Century Gothic" w:hAnsi="Century Gothic" w:cs="Times New Roman"/>
          <w:sz w:val="21"/>
          <w:szCs w:val="21"/>
          <w:lang w:val="es-ES_tradnl" w:eastAsia="es-ES_tradnl"/>
        </w:rPr>
        <w:t>-.</w:t>
      </w:r>
    </w:p>
    <w:p w14:paraId="75D1B9F4" w14:textId="77777777" w:rsidR="00646F55" w:rsidRPr="007B1E22" w:rsidRDefault="00646F55" w:rsidP="00646F55">
      <w:pPr>
        <w:jc w:val="both"/>
        <w:rPr>
          <w:rFonts w:ascii="Century Gothic" w:hAnsi="Century Gothic" w:cs="Times New Roman"/>
          <w:sz w:val="21"/>
          <w:szCs w:val="21"/>
          <w:lang w:val="es-ES_tradnl" w:eastAsia="es-ES_tradnl"/>
        </w:rPr>
      </w:pPr>
    </w:p>
    <w:p w14:paraId="09D7BB5B" w14:textId="1CB804FB" w:rsidR="00646F55" w:rsidRDefault="00106378" w:rsidP="00646F55">
      <w:pPr>
        <w:jc w:val="both"/>
        <w:rPr>
          <w:rFonts w:ascii="Century Gothic" w:hAnsi="Century Gothic" w:cs="Times New Roman"/>
          <w:sz w:val="21"/>
          <w:szCs w:val="21"/>
          <w:lang w:val="es-ES_tradnl" w:eastAsia="es-ES_tradnl"/>
        </w:rPr>
      </w:pPr>
      <w:r>
        <w:rPr>
          <w:rFonts w:ascii="Century Gothic" w:hAnsi="Century Gothic" w:cs="Times New Roman"/>
          <w:sz w:val="21"/>
          <w:szCs w:val="21"/>
          <w:lang w:val="es-ES_tradnl" w:eastAsia="es-ES_tradnl"/>
        </w:rPr>
        <w:t>En</w:t>
      </w:r>
      <w:r w:rsidR="00646F55" w:rsidRPr="007B1E22">
        <w:rPr>
          <w:rFonts w:ascii="Century Gothic" w:hAnsi="Century Gothic" w:cs="Times New Roman"/>
          <w:sz w:val="21"/>
          <w:szCs w:val="21"/>
          <w:lang w:val="es-ES_tradnl" w:eastAsia="es-ES_tradnl"/>
        </w:rPr>
        <w:t xml:space="preserve"> el Módulo Ambiental </w:t>
      </w:r>
      <w:r w:rsidR="00146F5C">
        <w:rPr>
          <w:rFonts w:ascii="Century Gothic" w:hAnsi="Century Gothic" w:cs="Times New Roman"/>
          <w:sz w:val="21"/>
          <w:szCs w:val="21"/>
          <w:lang w:val="es-ES_tradnl" w:eastAsia="es-ES_tradnl"/>
        </w:rPr>
        <w:t>Económic</w:t>
      </w:r>
      <w:r>
        <w:rPr>
          <w:rFonts w:ascii="Century Gothic" w:hAnsi="Century Gothic" w:cs="Times New Roman"/>
          <w:sz w:val="21"/>
          <w:szCs w:val="21"/>
          <w:lang w:val="es-ES_tradnl" w:eastAsia="es-ES_tradnl"/>
        </w:rPr>
        <w:t>o</w:t>
      </w:r>
      <w:r w:rsidR="00146F5C">
        <w:rPr>
          <w:rFonts w:ascii="Century Gothic" w:hAnsi="Century Gothic" w:cs="Times New Roman"/>
          <w:sz w:val="21"/>
          <w:szCs w:val="21"/>
          <w:lang w:val="es-ES_tradnl" w:eastAsia="es-ES_tradnl"/>
        </w:rPr>
        <w:t xml:space="preserve"> </w:t>
      </w:r>
      <w:r w:rsidR="00646F55" w:rsidRPr="007B1E22">
        <w:rPr>
          <w:rFonts w:ascii="Century Gothic" w:hAnsi="Century Gothic" w:cs="Times New Roman"/>
          <w:sz w:val="21"/>
          <w:szCs w:val="21"/>
          <w:lang w:val="es-ES_tradnl" w:eastAsia="es-ES_tradnl"/>
        </w:rPr>
        <w:t xml:space="preserve">de la ENESEM </w:t>
      </w:r>
      <w:r w:rsidR="003540AD">
        <w:rPr>
          <w:rFonts w:ascii="Century Gothic" w:hAnsi="Century Gothic" w:cs="Times New Roman"/>
          <w:sz w:val="21"/>
          <w:szCs w:val="21"/>
          <w:lang w:val="es-ES_tradnl" w:eastAsia="es-ES_tradnl"/>
        </w:rPr>
        <w:t>20</w:t>
      </w:r>
      <w:r>
        <w:rPr>
          <w:rFonts w:ascii="Century Gothic" w:hAnsi="Century Gothic" w:cs="Times New Roman"/>
          <w:sz w:val="21"/>
          <w:szCs w:val="21"/>
          <w:lang w:val="es-ES_tradnl" w:eastAsia="es-ES_tradnl"/>
        </w:rPr>
        <w:t>2</w:t>
      </w:r>
      <w:r w:rsidR="00BF1108">
        <w:rPr>
          <w:rFonts w:ascii="Century Gothic" w:hAnsi="Century Gothic" w:cs="Times New Roman"/>
          <w:sz w:val="21"/>
          <w:szCs w:val="21"/>
          <w:lang w:val="es-ES_tradnl" w:eastAsia="es-ES_tradnl"/>
        </w:rPr>
        <w:t>1</w:t>
      </w:r>
      <w:r w:rsidR="00646F55" w:rsidRPr="007B1E22">
        <w:rPr>
          <w:rFonts w:ascii="Century Gothic" w:hAnsi="Century Gothic" w:cs="Times New Roman"/>
          <w:sz w:val="21"/>
          <w:szCs w:val="21"/>
          <w:lang w:val="es-ES_tradnl" w:eastAsia="es-ES_tradnl"/>
        </w:rPr>
        <w:t xml:space="preserve"> se </w:t>
      </w:r>
      <w:r>
        <w:rPr>
          <w:rFonts w:ascii="Century Gothic" w:hAnsi="Century Gothic" w:cs="Times New Roman"/>
          <w:sz w:val="21"/>
          <w:szCs w:val="21"/>
          <w:lang w:val="es-ES_tradnl" w:eastAsia="es-ES_tradnl"/>
        </w:rPr>
        <w:t>elimin</w:t>
      </w:r>
      <w:r w:rsidR="00646F55" w:rsidRPr="007B1E22">
        <w:rPr>
          <w:rFonts w:ascii="Century Gothic" w:hAnsi="Century Gothic" w:cs="Times New Roman"/>
          <w:sz w:val="21"/>
          <w:szCs w:val="21"/>
          <w:lang w:val="es-ES_tradnl" w:eastAsia="es-ES_tradnl"/>
        </w:rPr>
        <w:t>ó el subcapítulo 10.III.</w:t>
      </w:r>
      <w:r>
        <w:rPr>
          <w:rFonts w:ascii="Century Gothic" w:hAnsi="Century Gothic" w:cs="Times New Roman"/>
          <w:sz w:val="21"/>
          <w:szCs w:val="21"/>
          <w:lang w:val="es-ES_tradnl" w:eastAsia="es-ES_tradnl"/>
        </w:rPr>
        <w:t>1</w:t>
      </w:r>
      <w:r w:rsidR="00646F55" w:rsidRPr="007B1E22">
        <w:rPr>
          <w:rFonts w:ascii="Century Gothic" w:hAnsi="Century Gothic" w:cs="Times New Roman"/>
          <w:sz w:val="21"/>
          <w:szCs w:val="21"/>
          <w:lang w:val="es-ES_tradnl" w:eastAsia="es-ES_tradnl"/>
        </w:rPr>
        <w:t xml:space="preserve"> referente a </w:t>
      </w:r>
      <w:r>
        <w:rPr>
          <w:rFonts w:ascii="Century Gothic" w:hAnsi="Century Gothic" w:cs="Times New Roman"/>
          <w:sz w:val="21"/>
          <w:szCs w:val="21"/>
          <w:lang w:val="es-ES_tradnl" w:eastAsia="es-ES_tradnl"/>
        </w:rPr>
        <w:t>residu</w:t>
      </w:r>
      <w:r w:rsidR="00646F55" w:rsidRPr="007B1E22">
        <w:rPr>
          <w:rFonts w:ascii="Century Gothic" w:hAnsi="Century Gothic" w:cs="Times New Roman"/>
          <w:sz w:val="21"/>
          <w:szCs w:val="21"/>
          <w:lang w:val="es-ES_tradnl" w:eastAsia="es-ES_tradnl"/>
        </w:rPr>
        <w:t xml:space="preserve">os </w:t>
      </w:r>
      <w:r>
        <w:rPr>
          <w:rFonts w:ascii="Century Gothic" w:hAnsi="Century Gothic" w:cs="Times New Roman"/>
          <w:sz w:val="21"/>
          <w:szCs w:val="21"/>
          <w:lang w:val="es-ES_tradnl" w:eastAsia="es-ES_tradnl"/>
        </w:rPr>
        <w:t xml:space="preserve">no </w:t>
      </w:r>
      <w:r w:rsidR="00646F55" w:rsidRPr="007B1E22">
        <w:rPr>
          <w:rFonts w:ascii="Century Gothic" w:hAnsi="Century Gothic" w:cs="Times New Roman"/>
          <w:sz w:val="21"/>
          <w:szCs w:val="21"/>
          <w:lang w:val="es-ES_tradnl" w:eastAsia="es-ES_tradnl"/>
        </w:rPr>
        <w:t>peligrosos con respecto al año anterior</w:t>
      </w:r>
      <w:r w:rsidR="00646F55" w:rsidRPr="007B1E22">
        <w:rPr>
          <w:rStyle w:val="Refdenotaalpie"/>
          <w:rFonts w:ascii="Century Gothic" w:hAnsi="Century Gothic" w:cs="Times New Roman"/>
          <w:sz w:val="21"/>
          <w:szCs w:val="21"/>
          <w:lang w:val="es-ES_tradnl" w:eastAsia="es-ES_tradnl"/>
        </w:rPr>
        <w:footnoteReference w:id="6"/>
      </w:r>
      <w:r w:rsidR="00646F55" w:rsidRPr="007B1E22">
        <w:rPr>
          <w:rFonts w:ascii="Century Gothic" w:hAnsi="Century Gothic" w:cs="Times New Roman"/>
          <w:sz w:val="21"/>
          <w:szCs w:val="21"/>
          <w:lang w:val="es-ES_tradnl" w:eastAsia="es-ES_tradnl"/>
        </w:rPr>
        <w:t xml:space="preserve">, </w:t>
      </w:r>
      <w:r>
        <w:rPr>
          <w:rFonts w:ascii="Century Gothic" w:hAnsi="Century Gothic" w:cs="Times New Roman"/>
          <w:sz w:val="21"/>
          <w:szCs w:val="21"/>
          <w:lang w:val="es-ES_tradnl" w:eastAsia="es-ES_tradnl"/>
        </w:rPr>
        <w:t xml:space="preserve">así como los permisos ambientales y las fuentes naturales de agua de captación, </w:t>
      </w:r>
      <w:r w:rsidR="00646F55" w:rsidRPr="007B1E22">
        <w:rPr>
          <w:rFonts w:ascii="Century Gothic" w:hAnsi="Century Gothic" w:cs="Times New Roman"/>
          <w:sz w:val="21"/>
          <w:szCs w:val="21"/>
          <w:lang w:val="es-ES_tradnl" w:eastAsia="es-ES_tradnl"/>
        </w:rPr>
        <w:t>p</w:t>
      </w:r>
      <w:r>
        <w:rPr>
          <w:rFonts w:ascii="Century Gothic" w:hAnsi="Century Gothic" w:cs="Times New Roman"/>
          <w:sz w:val="21"/>
          <w:szCs w:val="21"/>
          <w:lang w:val="es-ES_tradnl" w:eastAsia="es-ES_tradnl"/>
        </w:rPr>
        <w:t>or lo cual en</w:t>
      </w:r>
      <w:r w:rsidR="00646F55" w:rsidRPr="007B1E22">
        <w:rPr>
          <w:rFonts w:ascii="Century Gothic" w:hAnsi="Century Gothic" w:cs="Times New Roman"/>
          <w:sz w:val="21"/>
          <w:szCs w:val="21"/>
          <w:lang w:val="es-ES_tradnl" w:eastAsia="es-ES_tradnl"/>
        </w:rPr>
        <w:t xml:space="preserve"> e</w:t>
      </w:r>
      <w:r w:rsidR="00BF1108">
        <w:rPr>
          <w:rFonts w:ascii="Century Gothic" w:hAnsi="Century Gothic" w:cs="Times New Roman"/>
          <w:sz w:val="21"/>
          <w:szCs w:val="21"/>
          <w:lang w:val="es-ES_tradnl" w:eastAsia="es-ES_tradnl"/>
        </w:rPr>
        <w:t>l</w:t>
      </w:r>
      <w:r w:rsidR="00646F55" w:rsidRPr="007B1E22">
        <w:rPr>
          <w:rFonts w:ascii="Century Gothic" w:hAnsi="Century Gothic" w:cs="Times New Roman"/>
          <w:sz w:val="21"/>
          <w:szCs w:val="21"/>
          <w:lang w:val="es-ES_tradnl" w:eastAsia="es-ES_tradnl"/>
        </w:rPr>
        <w:t xml:space="preserve"> año </w:t>
      </w:r>
      <w:r w:rsidR="00BF1108">
        <w:rPr>
          <w:rFonts w:ascii="Century Gothic" w:hAnsi="Century Gothic" w:cs="Times New Roman"/>
          <w:sz w:val="21"/>
          <w:szCs w:val="21"/>
          <w:lang w:val="es-ES_tradnl" w:eastAsia="es-ES_tradnl"/>
        </w:rPr>
        <w:t>202</w:t>
      </w:r>
      <w:r>
        <w:rPr>
          <w:rFonts w:ascii="Century Gothic" w:hAnsi="Century Gothic" w:cs="Times New Roman"/>
          <w:sz w:val="21"/>
          <w:szCs w:val="21"/>
          <w:lang w:val="es-ES_tradnl" w:eastAsia="es-ES_tradnl"/>
        </w:rPr>
        <w:t>1</w:t>
      </w:r>
      <w:r w:rsidR="00BF1108">
        <w:rPr>
          <w:rFonts w:ascii="Century Gothic" w:hAnsi="Century Gothic" w:cs="Times New Roman"/>
          <w:sz w:val="21"/>
          <w:szCs w:val="21"/>
          <w:lang w:val="es-ES_tradnl" w:eastAsia="es-ES_tradnl"/>
        </w:rPr>
        <w:t xml:space="preserve"> se </w:t>
      </w:r>
      <w:r>
        <w:rPr>
          <w:rFonts w:ascii="Century Gothic" w:hAnsi="Century Gothic" w:cs="Times New Roman"/>
          <w:sz w:val="21"/>
          <w:szCs w:val="21"/>
          <w:lang w:val="es-ES_tradnl" w:eastAsia="es-ES_tradnl"/>
        </w:rPr>
        <w:t>altera</w:t>
      </w:r>
      <w:r w:rsidR="00BF1108">
        <w:rPr>
          <w:rFonts w:ascii="Century Gothic" w:hAnsi="Century Gothic" w:cs="Times New Roman"/>
          <w:sz w:val="21"/>
          <w:szCs w:val="21"/>
          <w:lang w:val="es-ES_tradnl" w:eastAsia="es-ES_tradnl"/>
        </w:rPr>
        <w:t xml:space="preserve"> la forma de</w:t>
      </w:r>
      <w:r w:rsidR="00646F55" w:rsidRPr="007B1E22">
        <w:rPr>
          <w:rFonts w:ascii="Century Gothic" w:hAnsi="Century Gothic" w:cs="Times New Roman"/>
          <w:sz w:val="21"/>
          <w:szCs w:val="21"/>
          <w:lang w:val="es-ES_tradnl" w:eastAsia="es-ES_tradnl"/>
        </w:rPr>
        <w:t xml:space="preserve"> cálculo del agregado de Impacto Ambiental, </w:t>
      </w:r>
      <w:r w:rsidR="00EB1778">
        <w:rPr>
          <w:rFonts w:ascii="Century Gothic" w:hAnsi="Century Gothic" w:cs="Times New Roman"/>
          <w:sz w:val="21"/>
          <w:szCs w:val="21"/>
          <w:lang w:val="es-ES_tradnl" w:eastAsia="es-ES_tradnl"/>
        </w:rPr>
        <w:t xml:space="preserve">pues </w:t>
      </w:r>
      <w:r w:rsidR="00BF1108">
        <w:rPr>
          <w:rFonts w:ascii="Century Gothic" w:hAnsi="Century Gothic" w:cs="Times New Roman"/>
          <w:sz w:val="21"/>
          <w:szCs w:val="21"/>
          <w:lang w:val="es-ES_tradnl" w:eastAsia="es-ES_tradnl"/>
        </w:rPr>
        <w:t xml:space="preserve">en </w:t>
      </w:r>
      <w:r w:rsidR="00EB1778">
        <w:rPr>
          <w:rFonts w:ascii="Century Gothic" w:hAnsi="Century Gothic" w:cs="Times New Roman"/>
          <w:sz w:val="21"/>
          <w:szCs w:val="21"/>
          <w:lang w:val="es-ES_tradnl" w:eastAsia="es-ES_tradnl"/>
        </w:rPr>
        <w:t>é</w:t>
      </w:r>
      <w:r w:rsidR="00BF1108">
        <w:rPr>
          <w:rFonts w:ascii="Century Gothic" w:hAnsi="Century Gothic" w:cs="Times New Roman"/>
          <w:sz w:val="21"/>
          <w:szCs w:val="21"/>
          <w:lang w:val="es-ES_tradnl" w:eastAsia="es-ES_tradnl"/>
        </w:rPr>
        <w:t xml:space="preserve">l </w:t>
      </w:r>
      <w:r w:rsidR="00EB1778">
        <w:rPr>
          <w:rFonts w:ascii="Century Gothic" w:hAnsi="Century Gothic" w:cs="Times New Roman"/>
          <w:sz w:val="21"/>
          <w:szCs w:val="21"/>
          <w:lang w:val="es-ES_tradnl" w:eastAsia="es-ES_tradnl"/>
        </w:rPr>
        <w:t>s</w:t>
      </w:r>
      <w:r w:rsidR="00646F55" w:rsidRPr="007B1E22">
        <w:rPr>
          <w:rFonts w:ascii="Century Gothic" w:hAnsi="Century Gothic" w:cs="Times New Roman"/>
          <w:sz w:val="21"/>
          <w:szCs w:val="21"/>
          <w:lang w:val="es-ES_tradnl" w:eastAsia="es-ES_tradnl"/>
        </w:rPr>
        <w:t xml:space="preserve">e </w:t>
      </w:r>
      <w:r>
        <w:rPr>
          <w:rFonts w:ascii="Century Gothic" w:hAnsi="Century Gothic" w:cs="Times New Roman"/>
          <w:sz w:val="21"/>
          <w:szCs w:val="21"/>
          <w:lang w:val="es-ES_tradnl" w:eastAsia="es-ES_tradnl"/>
        </w:rPr>
        <w:t>ex</w:t>
      </w:r>
      <w:r w:rsidR="00646F55" w:rsidRPr="007B1E22">
        <w:rPr>
          <w:rFonts w:ascii="Century Gothic" w:hAnsi="Century Gothic" w:cs="Times New Roman"/>
          <w:sz w:val="21"/>
          <w:szCs w:val="21"/>
          <w:lang w:val="es-ES_tradnl" w:eastAsia="es-ES_tradnl"/>
        </w:rPr>
        <w:t>cluyen sumandos refere</w:t>
      </w:r>
      <w:r w:rsidR="00FC5B43">
        <w:rPr>
          <w:rFonts w:ascii="Century Gothic" w:hAnsi="Century Gothic" w:cs="Times New Roman"/>
          <w:sz w:val="21"/>
          <w:szCs w:val="21"/>
          <w:lang w:val="es-ES_tradnl" w:eastAsia="es-ES_tradnl"/>
        </w:rPr>
        <w:t xml:space="preserve">ntes a </w:t>
      </w:r>
      <w:r w:rsidR="00EB1778">
        <w:rPr>
          <w:rFonts w:ascii="Century Gothic" w:hAnsi="Century Gothic" w:cs="Times New Roman"/>
          <w:sz w:val="21"/>
          <w:szCs w:val="21"/>
          <w:lang w:val="es-ES_tradnl" w:eastAsia="es-ES_tradnl"/>
        </w:rPr>
        <w:t>es</w:t>
      </w:r>
      <w:r w:rsidR="00FC5B43">
        <w:rPr>
          <w:rFonts w:ascii="Century Gothic" w:hAnsi="Century Gothic" w:cs="Times New Roman"/>
          <w:sz w:val="21"/>
          <w:szCs w:val="21"/>
          <w:lang w:val="es-ES_tradnl" w:eastAsia="es-ES_tradnl"/>
        </w:rPr>
        <w:t xml:space="preserve">os </w:t>
      </w:r>
      <w:r>
        <w:rPr>
          <w:rFonts w:ascii="Century Gothic" w:hAnsi="Century Gothic" w:cs="Times New Roman"/>
          <w:sz w:val="21"/>
          <w:szCs w:val="21"/>
          <w:lang w:val="es-ES_tradnl" w:eastAsia="es-ES_tradnl"/>
        </w:rPr>
        <w:t>tópic</w:t>
      </w:r>
      <w:r w:rsidR="00FC5B43">
        <w:rPr>
          <w:rFonts w:ascii="Century Gothic" w:hAnsi="Century Gothic" w:cs="Times New Roman"/>
          <w:sz w:val="21"/>
          <w:szCs w:val="21"/>
          <w:lang w:val="es-ES_tradnl" w:eastAsia="es-ES_tradnl"/>
        </w:rPr>
        <w:t>os</w:t>
      </w:r>
      <w:r w:rsidR="00646F55" w:rsidRPr="007B1E22">
        <w:rPr>
          <w:rFonts w:ascii="Century Gothic" w:hAnsi="Century Gothic" w:cs="Times New Roman"/>
          <w:sz w:val="21"/>
          <w:szCs w:val="21"/>
          <w:lang w:val="es-ES_tradnl" w:eastAsia="es-ES_tradnl"/>
        </w:rPr>
        <w:t>.</w:t>
      </w:r>
      <w:r>
        <w:rPr>
          <w:rFonts w:ascii="Century Gothic" w:hAnsi="Century Gothic" w:cs="Times New Roman"/>
          <w:sz w:val="21"/>
          <w:szCs w:val="21"/>
          <w:lang w:val="es-ES_tradnl" w:eastAsia="es-ES_tradnl"/>
        </w:rPr>
        <w:t xml:space="preserve"> A continuación</w:t>
      </w:r>
      <w:r w:rsidR="003C7582">
        <w:rPr>
          <w:rFonts w:ascii="Century Gothic" w:hAnsi="Century Gothic" w:cs="Times New Roman"/>
          <w:sz w:val="21"/>
          <w:szCs w:val="21"/>
          <w:lang w:val="es-ES_tradnl" w:eastAsia="es-ES_tradnl"/>
        </w:rPr>
        <w:t>,</w:t>
      </w:r>
      <w:r>
        <w:rPr>
          <w:rFonts w:ascii="Century Gothic" w:hAnsi="Century Gothic" w:cs="Times New Roman"/>
          <w:sz w:val="21"/>
          <w:szCs w:val="21"/>
          <w:lang w:val="es-ES_tradnl" w:eastAsia="es-ES_tradnl"/>
        </w:rPr>
        <w:t xml:space="preserve"> s</w:t>
      </w:r>
      <w:r w:rsidR="00FC5B43">
        <w:rPr>
          <w:rFonts w:ascii="Century Gothic" w:hAnsi="Century Gothic" w:cs="Times New Roman"/>
          <w:sz w:val="21"/>
          <w:szCs w:val="21"/>
          <w:lang w:val="es-ES_tradnl" w:eastAsia="es-ES_tradnl"/>
        </w:rPr>
        <w:t>e m</w:t>
      </w:r>
      <w:r>
        <w:rPr>
          <w:rFonts w:ascii="Century Gothic" w:hAnsi="Century Gothic" w:cs="Times New Roman"/>
          <w:sz w:val="21"/>
          <w:szCs w:val="21"/>
          <w:lang w:val="es-ES_tradnl" w:eastAsia="es-ES_tradnl"/>
        </w:rPr>
        <w:t>uestra</w:t>
      </w:r>
      <w:r w:rsidR="00646F55" w:rsidRPr="007B1E22">
        <w:rPr>
          <w:rFonts w:ascii="Century Gothic" w:hAnsi="Century Gothic" w:cs="Times New Roman"/>
          <w:sz w:val="21"/>
          <w:szCs w:val="21"/>
          <w:lang w:val="es-ES_tradnl" w:eastAsia="es-ES_tradnl"/>
        </w:rPr>
        <w:t xml:space="preserve"> el cálculo del agregado de Impacto Ambiental </w:t>
      </w:r>
      <w:r w:rsidR="003540AD">
        <w:rPr>
          <w:rFonts w:ascii="Century Gothic" w:hAnsi="Century Gothic" w:cs="Times New Roman"/>
          <w:sz w:val="21"/>
          <w:szCs w:val="21"/>
          <w:lang w:val="es-ES_tradnl" w:eastAsia="es-ES_tradnl"/>
        </w:rPr>
        <w:t>202</w:t>
      </w:r>
      <w:r>
        <w:rPr>
          <w:rFonts w:ascii="Century Gothic" w:hAnsi="Century Gothic" w:cs="Times New Roman"/>
          <w:sz w:val="21"/>
          <w:szCs w:val="21"/>
          <w:lang w:val="es-ES_tradnl" w:eastAsia="es-ES_tradnl"/>
        </w:rPr>
        <w:t>1</w:t>
      </w:r>
      <w:r w:rsidR="00646F55" w:rsidRPr="007B1E22">
        <w:rPr>
          <w:rFonts w:ascii="Century Gothic" w:hAnsi="Century Gothic" w:cs="Times New Roman"/>
          <w:sz w:val="21"/>
          <w:szCs w:val="21"/>
          <w:lang w:val="es-ES_tradnl" w:eastAsia="es-ES_tradnl"/>
        </w:rPr>
        <w:t xml:space="preserve">, el cual </w:t>
      </w:r>
      <w:r>
        <w:rPr>
          <w:rFonts w:ascii="Century Gothic" w:hAnsi="Century Gothic" w:cs="Times New Roman"/>
          <w:sz w:val="21"/>
          <w:szCs w:val="21"/>
          <w:lang w:val="es-ES_tradnl" w:eastAsia="es-ES_tradnl"/>
        </w:rPr>
        <w:t xml:space="preserve">ya no </w:t>
      </w:r>
      <w:r w:rsidR="00646F55" w:rsidRPr="007B1E22">
        <w:rPr>
          <w:rFonts w:ascii="Century Gothic" w:hAnsi="Century Gothic" w:cs="Times New Roman"/>
          <w:sz w:val="21"/>
          <w:szCs w:val="21"/>
          <w:lang w:val="es-ES_tradnl" w:eastAsia="es-ES_tradnl"/>
        </w:rPr>
        <w:t xml:space="preserve">es comparable con los valores del Impacto Ambiental del año </w:t>
      </w:r>
      <w:r w:rsidR="003540AD">
        <w:rPr>
          <w:rFonts w:ascii="Century Gothic" w:hAnsi="Century Gothic" w:cs="Times New Roman"/>
          <w:sz w:val="21"/>
          <w:szCs w:val="21"/>
          <w:lang w:val="es-ES_tradnl" w:eastAsia="es-ES_tradnl"/>
        </w:rPr>
        <w:t>20</w:t>
      </w:r>
      <w:r>
        <w:rPr>
          <w:rFonts w:ascii="Century Gothic" w:hAnsi="Century Gothic" w:cs="Times New Roman"/>
          <w:sz w:val="21"/>
          <w:szCs w:val="21"/>
          <w:lang w:val="es-ES_tradnl" w:eastAsia="es-ES_tradnl"/>
        </w:rPr>
        <w:t xml:space="preserve">20 </w:t>
      </w:r>
      <w:r w:rsidR="007443F6">
        <w:rPr>
          <w:rFonts w:ascii="Century Gothic" w:hAnsi="Century Gothic" w:cs="Times New Roman"/>
          <w:sz w:val="21"/>
          <w:szCs w:val="21"/>
          <w:lang w:val="es-ES_tradnl" w:eastAsia="es-ES_tradnl"/>
        </w:rPr>
        <w:t>o</w:t>
      </w:r>
      <w:r w:rsidR="00646F55" w:rsidRPr="007B1E22">
        <w:rPr>
          <w:rFonts w:ascii="Century Gothic" w:hAnsi="Century Gothic" w:cs="Times New Roman"/>
          <w:sz w:val="21"/>
          <w:szCs w:val="21"/>
          <w:lang w:val="es-ES_tradnl" w:eastAsia="es-ES_tradnl"/>
        </w:rPr>
        <w:t xml:space="preserve"> anteriores, por tener variables y formas de cálculo</w:t>
      </w:r>
      <w:r w:rsidR="00146F5C">
        <w:rPr>
          <w:rFonts w:ascii="Century Gothic" w:hAnsi="Century Gothic" w:cs="Times New Roman"/>
          <w:sz w:val="21"/>
          <w:szCs w:val="21"/>
          <w:lang w:val="es-ES_tradnl" w:eastAsia="es-ES_tradnl"/>
        </w:rPr>
        <w:t xml:space="preserve"> distintos</w:t>
      </w:r>
      <w:r w:rsidR="00EB1778">
        <w:rPr>
          <w:rFonts w:ascii="Century Gothic" w:hAnsi="Century Gothic" w:cs="Times New Roman"/>
          <w:sz w:val="21"/>
          <w:szCs w:val="21"/>
          <w:lang w:val="es-ES_tradnl" w:eastAsia="es-ES_tradnl"/>
        </w:rPr>
        <w:t>.</w:t>
      </w:r>
    </w:p>
    <w:p w14:paraId="338C5CDB" w14:textId="77777777" w:rsidR="007B1E22" w:rsidRPr="007B1E22" w:rsidRDefault="007B1E22" w:rsidP="00646F55">
      <w:pPr>
        <w:jc w:val="both"/>
        <w:rPr>
          <w:rFonts w:ascii="Century Gothic" w:hAnsi="Century Gothic" w:cs="Times New Roman"/>
          <w:sz w:val="21"/>
          <w:szCs w:val="21"/>
          <w:lang w:val="es-ES_tradnl" w:eastAsia="es-ES_tradnl"/>
        </w:rPr>
      </w:pPr>
    </w:p>
    <w:p w14:paraId="343B5352" w14:textId="57B394AE" w:rsidR="00646F55" w:rsidRDefault="00646F55" w:rsidP="00646F55">
      <w:pPr>
        <w:jc w:val="both"/>
        <w:rPr>
          <w:rFonts w:ascii="Century Gothic" w:hAnsi="Century Gothic" w:cs="Times New Roman"/>
          <w:sz w:val="21"/>
          <w:szCs w:val="21"/>
          <w:lang w:val="es-ES_tradnl" w:eastAsia="es-ES_tradnl"/>
        </w:rPr>
      </w:pPr>
      <w:r w:rsidRPr="007B1E22">
        <w:rPr>
          <w:rFonts w:ascii="Century Gothic" w:hAnsi="Century Gothic" w:cs="Times New Roman"/>
          <w:sz w:val="21"/>
          <w:szCs w:val="21"/>
          <w:lang w:val="es-ES_tradnl" w:eastAsia="es-ES_tradnl"/>
        </w:rPr>
        <w:t>La Tabla 2 presenta los valores medianos estimados de los imp</w:t>
      </w:r>
      <w:r w:rsidR="00FC5B43">
        <w:rPr>
          <w:rFonts w:ascii="Century Gothic" w:hAnsi="Century Gothic" w:cs="Times New Roman"/>
          <w:sz w:val="21"/>
          <w:szCs w:val="21"/>
          <w:lang w:val="es-ES_tradnl" w:eastAsia="es-ES_tradnl"/>
        </w:rPr>
        <w:t xml:space="preserve">actos ambientales </w:t>
      </w:r>
      <w:r w:rsidR="003540AD">
        <w:rPr>
          <w:rFonts w:ascii="Century Gothic" w:hAnsi="Century Gothic" w:cs="Times New Roman"/>
          <w:sz w:val="21"/>
          <w:szCs w:val="21"/>
          <w:lang w:val="es-ES_tradnl" w:eastAsia="es-ES_tradnl"/>
        </w:rPr>
        <w:t>202</w:t>
      </w:r>
      <w:r w:rsidR="00A32EC9">
        <w:rPr>
          <w:rFonts w:ascii="Century Gothic" w:hAnsi="Century Gothic" w:cs="Times New Roman"/>
          <w:sz w:val="21"/>
          <w:szCs w:val="21"/>
          <w:lang w:val="es-ES_tradnl" w:eastAsia="es-ES_tradnl"/>
        </w:rPr>
        <w:t>1</w:t>
      </w:r>
      <w:r w:rsidR="00FC5B43">
        <w:rPr>
          <w:rFonts w:ascii="Century Gothic" w:hAnsi="Century Gothic" w:cs="Times New Roman"/>
          <w:sz w:val="21"/>
          <w:szCs w:val="21"/>
          <w:lang w:val="es-ES_tradnl" w:eastAsia="es-ES_tradnl"/>
        </w:rPr>
        <w:t xml:space="preserve"> por </w:t>
      </w:r>
      <w:r w:rsidRPr="007B1E22">
        <w:rPr>
          <w:rFonts w:ascii="Century Gothic" w:hAnsi="Century Gothic" w:cs="Times New Roman"/>
          <w:sz w:val="21"/>
          <w:szCs w:val="21"/>
          <w:lang w:val="es-ES_tradnl" w:eastAsia="es-ES_tradnl"/>
        </w:rPr>
        <w:t>actividad económica:</w:t>
      </w:r>
    </w:p>
    <w:p w14:paraId="6B876652" w14:textId="3ED5AAC8" w:rsidR="00646F55" w:rsidRPr="00646F55" w:rsidRDefault="00646F55" w:rsidP="00646F55">
      <w:pPr>
        <w:pStyle w:val="Descripcin"/>
        <w:jc w:val="both"/>
        <w:rPr>
          <w:b/>
          <w:bCs/>
          <w:i w:val="0"/>
          <w:color w:val="595959" w:themeColor="text1" w:themeTint="A6"/>
          <w:sz w:val="16"/>
        </w:rPr>
      </w:pPr>
      <w:bookmarkStart w:id="6" w:name="_Toc132722367"/>
      <w:r w:rsidRPr="0087641F">
        <w:rPr>
          <w:b/>
          <w:bCs/>
          <w:i w:val="0"/>
          <w:iCs w:val="0"/>
          <w:color w:val="595959" w:themeColor="text1" w:themeTint="A6"/>
          <w:sz w:val="16"/>
        </w:rPr>
        <w:t xml:space="preserve">Tabla </w:t>
      </w:r>
      <w:r w:rsidRPr="0087641F">
        <w:rPr>
          <w:b/>
          <w:bCs/>
          <w:i w:val="0"/>
          <w:iCs w:val="0"/>
          <w:color w:val="595959" w:themeColor="text1" w:themeTint="A6"/>
          <w:sz w:val="16"/>
        </w:rPr>
        <w:fldChar w:fldCharType="begin"/>
      </w:r>
      <w:r w:rsidRPr="0087641F">
        <w:rPr>
          <w:b/>
          <w:bCs/>
          <w:i w:val="0"/>
          <w:iCs w:val="0"/>
          <w:color w:val="595959" w:themeColor="text1" w:themeTint="A6"/>
          <w:sz w:val="16"/>
        </w:rPr>
        <w:instrText xml:space="preserve"> SEQ Tabla \* ARABIC </w:instrText>
      </w:r>
      <w:r w:rsidRPr="0087641F">
        <w:rPr>
          <w:b/>
          <w:bCs/>
          <w:i w:val="0"/>
          <w:iCs w:val="0"/>
          <w:color w:val="595959" w:themeColor="text1" w:themeTint="A6"/>
          <w:sz w:val="16"/>
        </w:rPr>
        <w:fldChar w:fldCharType="separate"/>
      </w:r>
      <w:r w:rsidRPr="0087641F">
        <w:rPr>
          <w:b/>
          <w:bCs/>
          <w:i w:val="0"/>
          <w:iCs w:val="0"/>
          <w:noProof/>
          <w:color w:val="595959" w:themeColor="text1" w:themeTint="A6"/>
          <w:sz w:val="16"/>
        </w:rPr>
        <w:t>2</w:t>
      </w:r>
      <w:r w:rsidRPr="0087641F">
        <w:rPr>
          <w:b/>
          <w:bCs/>
          <w:i w:val="0"/>
          <w:iCs w:val="0"/>
          <w:color w:val="595959" w:themeColor="text1" w:themeTint="A6"/>
          <w:sz w:val="16"/>
        </w:rPr>
        <w:fldChar w:fldCharType="end"/>
      </w:r>
      <w:r w:rsidRPr="0087641F">
        <w:rPr>
          <w:b/>
          <w:bCs/>
          <w:i w:val="0"/>
          <w:iCs w:val="0"/>
          <w:color w:val="595959" w:themeColor="text1" w:themeTint="A6"/>
          <w:sz w:val="16"/>
        </w:rPr>
        <w:t>.</w:t>
      </w:r>
      <w:r w:rsidRPr="0087641F">
        <w:rPr>
          <w:i w:val="0"/>
        </w:rPr>
        <w:t xml:space="preserve"> </w:t>
      </w:r>
      <w:r w:rsidRPr="0087641F">
        <w:rPr>
          <w:rFonts w:cstheme="minorHAnsi"/>
          <w:i w:val="0"/>
          <w:sz w:val="16"/>
        </w:rPr>
        <w:t>Impacto ambiental agregado mediano</w:t>
      </w:r>
      <w:r w:rsidRPr="0087641F">
        <w:rPr>
          <w:rStyle w:val="Refdenotaalpie"/>
          <w:rFonts w:cstheme="minorHAnsi"/>
          <w:i w:val="0"/>
          <w:sz w:val="16"/>
        </w:rPr>
        <w:footnoteReference w:id="7"/>
      </w:r>
      <w:r w:rsidRPr="0087641F">
        <w:rPr>
          <w:rFonts w:cstheme="minorHAnsi"/>
          <w:i w:val="0"/>
          <w:sz w:val="16"/>
        </w:rPr>
        <w:t xml:space="preserve"> (</w:t>
      </w:r>
      <w:r w:rsidR="007443F6">
        <w:rPr>
          <w:rFonts w:cstheme="minorHAnsi"/>
          <w:i w:val="0"/>
          <w:sz w:val="16"/>
        </w:rPr>
        <w:t>Escala 1-100</w:t>
      </w:r>
      <w:r w:rsidRPr="0087641F">
        <w:rPr>
          <w:rFonts w:cstheme="minorHAnsi"/>
          <w:i w:val="0"/>
          <w:sz w:val="16"/>
        </w:rPr>
        <w:t>) por actividad económica</w:t>
      </w:r>
      <w:r w:rsidR="001F2555">
        <w:rPr>
          <w:rFonts w:cstheme="minorHAnsi"/>
          <w:i w:val="0"/>
          <w:sz w:val="16"/>
        </w:rPr>
        <w:t xml:space="preserve"> (</w:t>
      </w:r>
      <w:r w:rsidR="003540AD" w:rsidRPr="0087641F">
        <w:rPr>
          <w:rFonts w:cstheme="minorHAnsi"/>
          <w:i w:val="0"/>
          <w:sz w:val="16"/>
        </w:rPr>
        <w:t>202</w:t>
      </w:r>
      <w:r w:rsidR="00A32EC9">
        <w:rPr>
          <w:rFonts w:cstheme="minorHAnsi"/>
          <w:i w:val="0"/>
          <w:sz w:val="16"/>
        </w:rPr>
        <w:t>1</w:t>
      </w:r>
      <w:r w:rsidR="001F2555">
        <w:rPr>
          <w:rFonts w:cstheme="minorHAnsi"/>
          <w:i w:val="0"/>
          <w:sz w:val="16"/>
        </w:rPr>
        <w:t>)</w:t>
      </w:r>
      <w:r w:rsidRPr="0087641F">
        <w:rPr>
          <w:rFonts w:cstheme="minorHAnsi"/>
          <w:i w:val="0"/>
          <w:sz w:val="16"/>
        </w:rPr>
        <w:t>.</w:t>
      </w:r>
      <w:bookmarkEnd w:id="6"/>
    </w:p>
    <w:tbl>
      <w:tblPr>
        <w:tblW w:w="4907" w:type="pct"/>
        <w:jc w:val="center"/>
        <w:tblLayout w:type="fixed"/>
        <w:tblCellMar>
          <w:left w:w="70" w:type="dxa"/>
          <w:right w:w="70" w:type="dxa"/>
        </w:tblCellMar>
        <w:tblLook w:val="04A0" w:firstRow="1" w:lastRow="0" w:firstColumn="1" w:lastColumn="0" w:noHBand="0" w:noVBand="1"/>
      </w:tblPr>
      <w:tblGrid>
        <w:gridCol w:w="2960"/>
        <w:gridCol w:w="848"/>
      </w:tblGrid>
      <w:tr w:rsidR="00A32EC9" w:rsidRPr="00646F55" w14:paraId="4AF6980C" w14:textId="77777777" w:rsidTr="00533743">
        <w:trPr>
          <w:trHeight w:val="315"/>
          <w:jc w:val="center"/>
        </w:trPr>
        <w:tc>
          <w:tcPr>
            <w:tcW w:w="3887" w:type="pct"/>
            <w:tcBorders>
              <w:top w:val="single" w:sz="8" w:space="0" w:color="000000"/>
              <w:left w:val="single" w:sz="8" w:space="0" w:color="auto"/>
              <w:bottom w:val="single" w:sz="8" w:space="0" w:color="auto"/>
              <w:right w:val="single" w:sz="8" w:space="0" w:color="000000"/>
            </w:tcBorders>
            <w:vAlign w:val="center"/>
            <w:hideMark/>
          </w:tcPr>
          <w:p w14:paraId="31333F0C" w14:textId="31765ADF" w:rsidR="00A32EC9" w:rsidRPr="00646F55" w:rsidRDefault="00533743" w:rsidP="00646F55">
            <w:pPr>
              <w:jc w:val="center"/>
              <w:rPr>
                <w:rFonts w:ascii="Century Gothic" w:eastAsia="Times New Roman" w:hAnsi="Century Gothic" w:cs="Arial"/>
                <w:b/>
                <w:color w:val="00B050"/>
                <w:sz w:val="18"/>
                <w:szCs w:val="20"/>
                <w:lang w:val="es-PR" w:eastAsia="es-PR"/>
              </w:rPr>
            </w:pPr>
            <w:r>
              <w:rPr>
                <w:rFonts w:ascii="Century Gothic" w:eastAsia="Times New Roman" w:hAnsi="Century Gothic" w:cs="Arial"/>
                <w:b/>
                <w:color w:val="00B050"/>
                <w:sz w:val="18"/>
                <w:szCs w:val="20"/>
                <w:lang w:val="es-PR" w:eastAsia="es-PR"/>
              </w:rPr>
              <w:t>A</w:t>
            </w:r>
            <w:r w:rsidRPr="00646F55">
              <w:rPr>
                <w:rFonts w:ascii="Century Gothic" w:eastAsia="Times New Roman" w:hAnsi="Century Gothic" w:cs="Arial"/>
                <w:b/>
                <w:color w:val="00B050"/>
                <w:sz w:val="18"/>
                <w:szCs w:val="20"/>
                <w:lang w:val="es-PR" w:eastAsia="es-PR"/>
              </w:rPr>
              <w:t>ctividad económica</w:t>
            </w:r>
          </w:p>
        </w:tc>
        <w:tc>
          <w:tcPr>
            <w:tcW w:w="1113" w:type="pct"/>
            <w:tcBorders>
              <w:top w:val="single" w:sz="8" w:space="0" w:color="000000"/>
              <w:left w:val="single" w:sz="8" w:space="0" w:color="000000"/>
              <w:bottom w:val="single" w:sz="8" w:space="0" w:color="auto"/>
              <w:right w:val="single" w:sz="4" w:space="0" w:color="000000"/>
            </w:tcBorders>
            <w:shd w:val="clear" w:color="auto" w:fill="auto"/>
            <w:vAlign w:val="center"/>
            <w:hideMark/>
          </w:tcPr>
          <w:p w14:paraId="0DB8F6CA" w14:textId="77777777" w:rsidR="00A32EC9" w:rsidRDefault="00533743" w:rsidP="00646F55">
            <w:pPr>
              <w:jc w:val="center"/>
              <w:rPr>
                <w:rFonts w:ascii="Century Gothic" w:eastAsia="Times New Roman" w:hAnsi="Century Gothic" w:cs="Arial"/>
                <w:b/>
                <w:color w:val="00B050"/>
                <w:sz w:val="18"/>
                <w:szCs w:val="20"/>
                <w:lang w:val="es-PR" w:eastAsia="es-PR"/>
              </w:rPr>
            </w:pPr>
            <w:r>
              <w:rPr>
                <w:rFonts w:ascii="Century Gothic" w:eastAsia="Times New Roman" w:hAnsi="Century Gothic" w:cs="Arial"/>
                <w:b/>
                <w:color w:val="00B050"/>
                <w:sz w:val="18"/>
                <w:szCs w:val="20"/>
                <w:lang w:val="es-PR" w:eastAsia="es-PR"/>
              </w:rPr>
              <w:t>IA</w:t>
            </w:r>
          </w:p>
          <w:p w14:paraId="1606727F" w14:textId="37FB6925" w:rsidR="00533743" w:rsidRPr="00646F55" w:rsidRDefault="00533743" w:rsidP="00646F55">
            <w:pPr>
              <w:jc w:val="center"/>
              <w:rPr>
                <w:rFonts w:ascii="Century Gothic" w:eastAsia="Times New Roman" w:hAnsi="Century Gothic" w:cs="Arial"/>
                <w:b/>
                <w:color w:val="00B050"/>
                <w:sz w:val="16"/>
                <w:szCs w:val="18"/>
                <w:lang w:val="es-PR" w:eastAsia="es-PR"/>
              </w:rPr>
            </w:pPr>
            <w:r>
              <w:rPr>
                <w:rFonts w:ascii="Century Gothic" w:eastAsia="Times New Roman" w:hAnsi="Century Gothic" w:cs="Arial"/>
                <w:b/>
                <w:color w:val="00B050"/>
                <w:sz w:val="16"/>
                <w:szCs w:val="18"/>
                <w:lang w:val="es-PR" w:eastAsia="es-PR"/>
              </w:rPr>
              <w:t>(N/100)</w:t>
            </w:r>
          </w:p>
        </w:tc>
      </w:tr>
      <w:tr w:rsidR="00533743" w:rsidRPr="00646F55" w14:paraId="1CAC3171" w14:textId="77777777" w:rsidTr="00533743">
        <w:trPr>
          <w:trHeight w:val="315"/>
          <w:jc w:val="center"/>
        </w:trPr>
        <w:tc>
          <w:tcPr>
            <w:tcW w:w="3887" w:type="pct"/>
            <w:tcBorders>
              <w:top w:val="single" w:sz="8" w:space="0" w:color="auto"/>
              <w:left w:val="single" w:sz="8" w:space="0" w:color="auto"/>
              <w:bottom w:val="single" w:sz="6" w:space="0" w:color="auto"/>
              <w:right w:val="single" w:sz="8" w:space="0" w:color="auto"/>
            </w:tcBorders>
            <w:shd w:val="clear" w:color="auto" w:fill="auto"/>
            <w:vAlign w:val="center"/>
          </w:tcPr>
          <w:p w14:paraId="1FDDA87C" w14:textId="0CC665ED" w:rsidR="00533743" w:rsidRPr="00646F55" w:rsidRDefault="00533743" w:rsidP="00646F55">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B. </w:t>
            </w:r>
            <w:r w:rsidRPr="004947A3">
              <w:rPr>
                <w:rFonts w:ascii="Century Gothic" w:eastAsia="Times New Roman" w:hAnsi="Century Gothic" w:cs="Arial"/>
                <w:color w:val="000000"/>
                <w:sz w:val="16"/>
                <w:szCs w:val="18"/>
                <w:lang w:val="es-PR" w:eastAsia="es-PR"/>
              </w:rPr>
              <w:t>Explotación de Minas y Canteras</w:t>
            </w:r>
          </w:p>
        </w:tc>
        <w:tc>
          <w:tcPr>
            <w:tcW w:w="1113" w:type="pct"/>
            <w:tcBorders>
              <w:top w:val="single" w:sz="8" w:space="0" w:color="auto"/>
              <w:left w:val="single" w:sz="8" w:space="0" w:color="auto"/>
              <w:bottom w:val="single" w:sz="6" w:space="0" w:color="auto"/>
              <w:right w:val="single" w:sz="6" w:space="0" w:color="auto"/>
            </w:tcBorders>
            <w:shd w:val="clear" w:color="auto" w:fill="auto"/>
            <w:noWrap/>
            <w:vAlign w:val="center"/>
          </w:tcPr>
          <w:p w14:paraId="1595535F" w14:textId="246591A9" w:rsidR="00533743" w:rsidRDefault="001C01D4" w:rsidP="00646F55">
            <w:pPr>
              <w:jc w:val="center"/>
              <w:rPr>
                <w:rFonts w:ascii="Century Gothic" w:hAnsi="Century Gothic"/>
                <w:color w:val="000000"/>
                <w:sz w:val="16"/>
                <w:szCs w:val="16"/>
              </w:rPr>
            </w:pPr>
            <w:r>
              <w:rPr>
                <w:rFonts w:ascii="Century Gothic" w:hAnsi="Century Gothic"/>
                <w:color w:val="000000"/>
                <w:sz w:val="16"/>
                <w:szCs w:val="16"/>
              </w:rPr>
              <w:t>80</w:t>
            </w:r>
          </w:p>
        </w:tc>
      </w:tr>
      <w:tr w:rsidR="00533743" w:rsidRPr="00646F55" w14:paraId="4F127420" w14:textId="77777777" w:rsidTr="00533743">
        <w:trPr>
          <w:trHeight w:val="315"/>
          <w:jc w:val="center"/>
        </w:trPr>
        <w:tc>
          <w:tcPr>
            <w:tcW w:w="3887" w:type="pct"/>
            <w:tcBorders>
              <w:top w:val="single" w:sz="8" w:space="0" w:color="auto"/>
              <w:left w:val="single" w:sz="8" w:space="0" w:color="auto"/>
              <w:bottom w:val="single" w:sz="6" w:space="0" w:color="auto"/>
              <w:right w:val="single" w:sz="8" w:space="0" w:color="auto"/>
            </w:tcBorders>
            <w:shd w:val="clear" w:color="auto" w:fill="auto"/>
            <w:vAlign w:val="center"/>
          </w:tcPr>
          <w:p w14:paraId="534674F6" w14:textId="001B8AF0" w:rsidR="00533743" w:rsidRPr="00646F55" w:rsidRDefault="00533743" w:rsidP="00646F55">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E. </w:t>
            </w:r>
            <w:r w:rsidRPr="004947A3">
              <w:rPr>
                <w:rFonts w:ascii="Century Gothic" w:eastAsia="Times New Roman" w:hAnsi="Century Gothic" w:cs="Arial"/>
                <w:color w:val="000000"/>
                <w:sz w:val="16"/>
                <w:szCs w:val="18"/>
                <w:lang w:val="es-PR" w:eastAsia="es-PR"/>
              </w:rPr>
              <w:t>Distribución de agua, alcantarillado, gestión de desechos y saneamiento</w:t>
            </w:r>
          </w:p>
        </w:tc>
        <w:tc>
          <w:tcPr>
            <w:tcW w:w="1113" w:type="pct"/>
            <w:tcBorders>
              <w:top w:val="single" w:sz="8" w:space="0" w:color="auto"/>
              <w:left w:val="single" w:sz="8" w:space="0" w:color="auto"/>
              <w:bottom w:val="single" w:sz="6" w:space="0" w:color="auto"/>
              <w:right w:val="single" w:sz="6" w:space="0" w:color="auto"/>
            </w:tcBorders>
            <w:shd w:val="clear" w:color="auto" w:fill="auto"/>
            <w:noWrap/>
            <w:vAlign w:val="center"/>
          </w:tcPr>
          <w:p w14:paraId="5101D9EF" w14:textId="606B4D1B" w:rsidR="00533743" w:rsidRDefault="001C01D4" w:rsidP="00646F55">
            <w:pPr>
              <w:jc w:val="center"/>
              <w:rPr>
                <w:rFonts w:ascii="Century Gothic" w:hAnsi="Century Gothic"/>
                <w:color w:val="000000"/>
                <w:sz w:val="16"/>
                <w:szCs w:val="16"/>
              </w:rPr>
            </w:pPr>
            <w:r>
              <w:rPr>
                <w:rFonts w:ascii="Century Gothic" w:hAnsi="Century Gothic"/>
                <w:color w:val="000000"/>
                <w:sz w:val="16"/>
                <w:szCs w:val="16"/>
              </w:rPr>
              <w:t>78</w:t>
            </w:r>
          </w:p>
        </w:tc>
      </w:tr>
      <w:tr w:rsidR="00A32EC9" w:rsidRPr="00646F55" w14:paraId="5FDF6F80" w14:textId="77777777" w:rsidTr="00533743">
        <w:trPr>
          <w:trHeight w:val="315"/>
          <w:jc w:val="center"/>
        </w:trPr>
        <w:tc>
          <w:tcPr>
            <w:tcW w:w="3887" w:type="pct"/>
            <w:tcBorders>
              <w:top w:val="single" w:sz="8" w:space="0" w:color="auto"/>
              <w:left w:val="single" w:sz="8" w:space="0" w:color="auto"/>
              <w:bottom w:val="single" w:sz="6" w:space="0" w:color="auto"/>
              <w:right w:val="single" w:sz="8" w:space="0" w:color="auto"/>
            </w:tcBorders>
            <w:shd w:val="clear" w:color="auto" w:fill="auto"/>
            <w:vAlign w:val="center"/>
          </w:tcPr>
          <w:p w14:paraId="7133D428" w14:textId="45D6E95E" w:rsidR="00A32EC9" w:rsidRPr="00646F55" w:rsidRDefault="00A32EC9" w:rsidP="00646F55">
            <w:pPr>
              <w:jc w:val="center"/>
              <w:rPr>
                <w:rFonts w:ascii="Century Gothic" w:eastAsia="Times New Roman" w:hAnsi="Century Gothic" w:cs="Arial"/>
                <w:color w:val="000000"/>
                <w:sz w:val="16"/>
                <w:szCs w:val="18"/>
                <w:lang w:val="es-PR" w:eastAsia="es-PR"/>
              </w:rPr>
            </w:pPr>
            <w:r w:rsidRPr="00646F55">
              <w:rPr>
                <w:rFonts w:ascii="Century Gothic" w:eastAsia="Times New Roman" w:hAnsi="Century Gothic" w:cs="Arial"/>
                <w:color w:val="000000"/>
                <w:sz w:val="16"/>
                <w:szCs w:val="18"/>
                <w:lang w:val="es-PR" w:eastAsia="es-PR"/>
              </w:rPr>
              <w:t>Q. Actividades de atención de la salud</w:t>
            </w:r>
            <w:r w:rsidR="00533743">
              <w:rPr>
                <w:rFonts w:ascii="Century Gothic" w:eastAsia="Times New Roman" w:hAnsi="Century Gothic" w:cs="Arial"/>
                <w:color w:val="000000"/>
                <w:sz w:val="16"/>
                <w:szCs w:val="18"/>
                <w:lang w:val="es-PR" w:eastAsia="es-PR"/>
              </w:rPr>
              <w:t xml:space="preserve"> humana y de asistencia social</w:t>
            </w:r>
          </w:p>
        </w:tc>
        <w:tc>
          <w:tcPr>
            <w:tcW w:w="1113" w:type="pct"/>
            <w:tcBorders>
              <w:top w:val="single" w:sz="8" w:space="0" w:color="auto"/>
              <w:left w:val="single" w:sz="8" w:space="0" w:color="auto"/>
              <w:bottom w:val="single" w:sz="6" w:space="0" w:color="auto"/>
              <w:right w:val="single" w:sz="6" w:space="0" w:color="auto"/>
            </w:tcBorders>
            <w:shd w:val="clear" w:color="auto" w:fill="auto"/>
            <w:noWrap/>
            <w:vAlign w:val="center"/>
          </w:tcPr>
          <w:p w14:paraId="6C5EED87" w14:textId="787B88F8" w:rsidR="00A32EC9" w:rsidRPr="00646F55" w:rsidRDefault="001C01D4" w:rsidP="00646F55">
            <w:pPr>
              <w:jc w:val="center"/>
              <w:rPr>
                <w:rFonts w:ascii="Century Gothic" w:hAnsi="Century Gothic"/>
                <w:color w:val="000000"/>
                <w:sz w:val="16"/>
                <w:szCs w:val="16"/>
              </w:rPr>
            </w:pPr>
            <w:r>
              <w:rPr>
                <w:rFonts w:ascii="Century Gothic" w:hAnsi="Century Gothic"/>
                <w:color w:val="000000"/>
                <w:sz w:val="16"/>
                <w:szCs w:val="16"/>
              </w:rPr>
              <w:t>76.5</w:t>
            </w:r>
          </w:p>
        </w:tc>
      </w:tr>
      <w:tr w:rsidR="00A32EC9" w:rsidRPr="00646F55" w14:paraId="25AF7844" w14:textId="77777777" w:rsidTr="00533743">
        <w:trPr>
          <w:trHeight w:val="300"/>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19C55FC3" w14:textId="2FC2AD1A" w:rsidR="00A32EC9" w:rsidRPr="00646F55" w:rsidRDefault="001C01D4"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I. </w:t>
            </w:r>
            <w:r w:rsidRPr="004947A3">
              <w:rPr>
                <w:rFonts w:ascii="Century Gothic" w:eastAsia="Times New Roman" w:hAnsi="Century Gothic" w:cs="Arial"/>
                <w:color w:val="000000"/>
                <w:sz w:val="16"/>
                <w:szCs w:val="18"/>
                <w:lang w:val="es-PR" w:eastAsia="es-PR"/>
              </w:rPr>
              <w:t>Actividades de alojamiento y servicio de comidas</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43F782A6" w14:textId="31BCCD53" w:rsidR="00A32EC9" w:rsidRPr="00646F55" w:rsidRDefault="001C01D4" w:rsidP="001712A2">
            <w:pPr>
              <w:jc w:val="center"/>
              <w:rPr>
                <w:rFonts w:ascii="Century Gothic" w:hAnsi="Century Gothic"/>
                <w:color w:val="000000"/>
                <w:sz w:val="16"/>
                <w:szCs w:val="16"/>
              </w:rPr>
            </w:pPr>
            <w:r>
              <w:rPr>
                <w:rFonts w:ascii="Century Gothic" w:hAnsi="Century Gothic"/>
                <w:color w:val="000000"/>
                <w:sz w:val="16"/>
                <w:szCs w:val="16"/>
              </w:rPr>
              <w:t>75</w:t>
            </w:r>
          </w:p>
        </w:tc>
      </w:tr>
      <w:tr w:rsidR="00A32EC9" w:rsidRPr="00646F55" w14:paraId="456D5F01" w14:textId="77777777" w:rsidTr="00533743">
        <w:trPr>
          <w:trHeight w:val="300"/>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57A5847F" w14:textId="2DC2861F" w:rsidR="00A32EC9" w:rsidRPr="00646F55" w:rsidRDefault="001C01D4"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C. </w:t>
            </w:r>
            <w:r w:rsidRPr="004947A3">
              <w:rPr>
                <w:rFonts w:ascii="Century Gothic" w:eastAsia="Times New Roman" w:hAnsi="Century Gothic" w:cs="Arial"/>
                <w:color w:val="000000"/>
                <w:sz w:val="16"/>
                <w:szCs w:val="18"/>
                <w:lang w:val="es-PR" w:eastAsia="es-PR"/>
              </w:rPr>
              <w:t>Industria manufacturera</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03D8D408" w14:textId="167E0B14" w:rsidR="00A32EC9" w:rsidRPr="00646F55" w:rsidRDefault="001C01D4" w:rsidP="001712A2">
            <w:pPr>
              <w:jc w:val="center"/>
              <w:rPr>
                <w:rFonts w:ascii="Century Gothic" w:hAnsi="Century Gothic"/>
                <w:color w:val="000000"/>
                <w:sz w:val="16"/>
                <w:szCs w:val="16"/>
              </w:rPr>
            </w:pPr>
            <w:r>
              <w:rPr>
                <w:rFonts w:ascii="Century Gothic" w:hAnsi="Century Gothic"/>
                <w:color w:val="000000"/>
                <w:sz w:val="16"/>
                <w:szCs w:val="16"/>
              </w:rPr>
              <w:t>71</w:t>
            </w:r>
          </w:p>
        </w:tc>
      </w:tr>
      <w:tr w:rsidR="00A32EC9" w:rsidRPr="00646F55" w14:paraId="1CA189A6" w14:textId="77777777" w:rsidTr="00533743">
        <w:trPr>
          <w:trHeight w:val="300"/>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0FE29437" w14:textId="20DEB121" w:rsidR="00A32EC9" w:rsidRPr="00646F55" w:rsidRDefault="001C01D4"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P. </w:t>
            </w:r>
            <w:r w:rsidRPr="004947A3">
              <w:rPr>
                <w:rFonts w:ascii="Century Gothic" w:eastAsia="Times New Roman" w:hAnsi="Century Gothic" w:cs="Arial"/>
                <w:color w:val="000000"/>
                <w:sz w:val="16"/>
                <w:szCs w:val="18"/>
                <w:lang w:val="es-PR" w:eastAsia="es-PR"/>
              </w:rPr>
              <w:t>Enseñanza</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025CB636" w14:textId="3391D2D7" w:rsidR="00A32EC9" w:rsidRPr="00646F55" w:rsidRDefault="001C01D4" w:rsidP="001712A2">
            <w:pPr>
              <w:jc w:val="center"/>
              <w:rPr>
                <w:rFonts w:ascii="Century Gothic" w:hAnsi="Century Gothic"/>
                <w:color w:val="000000"/>
                <w:sz w:val="16"/>
                <w:szCs w:val="16"/>
              </w:rPr>
            </w:pPr>
            <w:r>
              <w:rPr>
                <w:rFonts w:ascii="Century Gothic" w:hAnsi="Century Gothic"/>
                <w:color w:val="000000"/>
                <w:sz w:val="16"/>
                <w:szCs w:val="16"/>
              </w:rPr>
              <w:t>67</w:t>
            </w:r>
          </w:p>
        </w:tc>
      </w:tr>
      <w:tr w:rsidR="00A32EC9" w:rsidRPr="00646F55" w14:paraId="7F6C8077" w14:textId="77777777" w:rsidTr="00533743">
        <w:trPr>
          <w:trHeight w:val="300"/>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7C2A67EA" w14:textId="79FDAE59" w:rsidR="00A32EC9" w:rsidRPr="00646F55" w:rsidRDefault="001C01D4"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D. </w:t>
            </w:r>
            <w:r w:rsidRPr="004947A3">
              <w:rPr>
                <w:rFonts w:ascii="Century Gothic" w:eastAsia="Times New Roman" w:hAnsi="Century Gothic" w:cs="Arial"/>
                <w:color w:val="000000"/>
                <w:sz w:val="16"/>
                <w:szCs w:val="18"/>
                <w:lang w:val="es-PR" w:eastAsia="es-PR"/>
              </w:rPr>
              <w:t>Suministro de electricidad, gas, vapor y aire acondicionado</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01E16835" w14:textId="7B064DF8" w:rsidR="00A32EC9" w:rsidRPr="00646F55" w:rsidRDefault="001C01D4" w:rsidP="001712A2">
            <w:pPr>
              <w:jc w:val="center"/>
              <w:rPr>
                <w:rFonts w:ascii="Century Gothic" w:hAnsi="Century Gothic"/>
                <w:color w:val="000000"/>
                <w:sz w:val="16"/>
                <w:szCs w:val="16"/>
              </w:rPr>
            </w:pPr>
            <w:r>
              <w:rPr>
                <w:rFonts w:ascii="Century Gothic" w:hAnsi="Century Gothic"/>
                <w:color w:val="000000"/>
                <w:sz w:val="16"/>
                <w:szCs w:val="16"/>
              </w:rPr>
              <w:t>64</w:t>
            </w:r>
          </w:p>
        </w:tc>
      </w:tr>
      <w:tr w:rsidR="001C01D4" w:rsidRPr="00646F55" w14:paraId="6BC0B22B" w14:textId="77777777" w:rsidTr="00533743">
        <w:trPr>
          <w:trHeight w:val="300"/>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034698B2" w14:textId="705998CB" w:rsidR="001C01D4" w:rsidRDefault="001C01D4"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N. </w:t>
            </w:r>
            <w:r w:rsidRPr="004947A3">
              <w:rPr>
                <w:rFonts w:ascii="Century Gothic" w:eastAsia="Times New Roman" w:hAnsi="Century Gothic" w:cs="Arial"/>
                <w:color w:val="000000"/>
                <w:sz w:val="16"/>
                <w:szCs w:val="18"/>
                <w:lang w:val="es-PR" w:eastAsia="es-PR"/>
              </w:rPr>
              <w:t>Act</w:t>
            </w:r>
            <w:r>
              <w:rPr>
                <w:rFonts w:ascii="Century Gothic" w:eastAsia="Times New Roman" w:hAnsi="Century Gothic" w:cs="Arial"/>
                <w:color w:val="000000"/>
                <w:sz w:val="16"/>
                <w:szCs w:val="18"/>
                <w:lang w:val="es-PR" w:eastAsia="es-PR"/>
              </w:rPr>
              <w:t>i</w:t>
            </w:r>
            <w:r w:rsidRPr="004947A3">
              <w:rPr>
                <w:rFonts w:ascii="Century Gothic" w:eastAsia="Times New Roman" w:hAnsi="Century Gothic" w:cs="Arial"/>
                <w:color w:val="000000"/>
                <w:sz w:val="16"/>
                <w:szCs w:val="18"/>
                <w:lang w:val="es-PR" w:eastAsia="es-PR"/>
              </w:rPr>
              <w:t>vidad</w:t>
            </w:r>
            <w:r>
              <w:rPr>
                <w:rFonts w:ascii="Century Gothic" w:eastAsia="Times New Roman" w:hAnsi="Century Gothic" w:cs="Arial"/>
                <w:color w:val="000000"/>
                <w:sz w:val="16"/>
                <w:szCs w:val="18"/>
                <w:lang w:val="es-PR" w:eastAsia="es-PR"/>
              </w:rPr>
              <w:t>es</w:t>
            </w:r>
            <w:r w:rsidRPr="004947A3">
              <w:rPr>
                <w:rFonts w:ascii="Century Gothic" w:eastAsia="Times New Roman" w:hAnsi="Century Gothic" w:cs="Arial"/>
                <w:color w:val="000000"/>
                <w:sz w:val="16"/>
                <w:szCs w:val="18"/>
                <w:lang w:val="es-PR" w:eastAsia="es-PR"/>
              </w:rPr>
              <w:t xml:space="preserve"> de servicios administrativos y de apoyo</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465CA8B3" w14:textId="1CB59643" w:rsidR="001C01D4" w:rsidRPr="001712A2" w:rsidRDefault="001C01D4" w:rsidP="001712A2">
            <w:pPr>
              <w:jc w:val="center"/>
              <w:rPr>
                <w:rFonts w:ascii="Century Gothic" w:hAnsi="Century Gothic"/>
                <w:color w:val="000000"/>
                <w:sz w:val="16"/>
                <w:szCs w:val="16"/>
              </w:rPr>
            </w:pPr>
            <w:r>
              <w:rPr>
                <w:rFonts w:ascii="Century Gothic" w:hAnsi="Century Gothic"/>
                <w:color w:val="000000"/>
                <w:sz w:val="16"/>
                <w:szCs w:val="16"/>
              </w:rPr>
              <w:t>61</w:t>
            </w:r>
          </w:p>
        </w:tc>
      </w:tr>
      <w:tr w:rsidR="00A32EC9" w:rsidRPr="00646F55" w14:paraId="35B1DA08" w14:textId="77777777" w:rsidTr="00533743">
        <w:trPr>
          <w:trHeight w:val="300"/>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00894986" w14:textId="72D6E94B" w:rsidR="00A32EC9" w:rsidRPr="00646F55" w:rsidRDefault="00A32EC9"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S. </w:t>
            </w:r>
            <w:r w:rsidRPr="004947A3">
              <w:rPr>
                <w:rFonts w:ascii="Century Gothic" w:eastAsia="Times New Roman" w:hAnsi="Century Gothic" w:cs="Arial"/>
                <w:color w:val="000000"/>
                <w:sz w:val="16"/>
                <w:szCs w:val="18"/>
                <w:lang w:val="es-PR" w:eastAsia="es-PR"/>
              </w:rPr>
              <w:t>Otras actividades de servicios</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2DD6498F" w14:textId="5593BBFC" w:rsidR="00A32EC9" w:rsidRPr="00646F55" w:rsidRDefault="001C01D4" w:rsidP="001712A2">
            <w:pPr>
              <w:jc w:val="center"/>
              <w:rPr>
                <w:rFonts w:ascii="Century Gothic" w:hAnsi="Century Gothic"/>
                <w:color w:val="000000"/>
                <w:sz w:val="16"/>
                <w:szCs w:val="16"/>
              </w:rPr>
            </w:pPr>
            <w:r>
              <w:rPr>
                <w:rFonts w:ascii="Century Gothic" w:hAnsi="Century Gothic"/>
                <w:color w:val="000000"/>
                <w:sz w:val="16"/>
                <w:szCs w:val="16"/>
              </w:rPr>
              <w:t>57.5</w:t>
            </w:r>
          </w:p>
        </w:tc>
      </w:tr>
      <w:tr w:rsidR="00A32EC9" w:rsidRPr="00646F55" w14:paraId="68A30EEF" w14:textId="77777777" w:rsidTr="00533743">
        <w:trPr>
          <w:trHeight w:val="300"/>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03062FCD" w14:textId="11973C4D" w:rsidR="00A32EC9" w:rsidRPr="00646F55" w:rsidRDefault="001C01D4"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M. </w:t>
            </w:r>
            <w:r w:rsidRPr="004947A3">
              <w:rPr>
                <w:rFonts w:ascii="Century Gothic" w:eastAsia="Times New Roman" w:hAnsi="Century Gothic" w:cs="Arial"/>
                <w:color w:val="000000"/>
                <w:sz w:val="16"/>
                <w:szCs w:val="18"/>
                <w:lang w:val="es-PR" w:eastAsia="es-PR"/>
              </w:rPr>
              <w:t>Actividades profesionales, científicas y técnicas</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1F6480D3" w14:textId="4A857959" w:rsidR="00A32EC9" w:rsidRPr="00646F55" w:rsidRDefault="001C01D4" w:rsidP="001712A2">
            <w:pPr>
              <w:jc w:val="center"/>
              <w:rPr>
                <w:rFonts w:ascii="Century Gothic" w:hAnsi="Century Gothic"/>
                <w:color w:val="000000"/>
                <w:sz w:val="16"/>
                <w:szCs w:val="16"/>
              </w:rPr>
            </w:pPr>
            <w:r>
              <w:rPr>
                <w:rFonts w:ascii="Century Gothic" w:hAnsi="Century Gothic"/>
                <w:color w:val="000000"/>
                <w:sz w:val="16"/>
                <w:szCs w:val="16"/>
              </w:rPr>
              <w:t>57</w:t>
            </w:r>
          </w:p>
        </w:tc>
      </w:tr>
      <w:tr w:rsidR="001C01D4" w:rsidRPr="00646F55" w14:paraId="0964D660" w14:textId="77777777" w:rsidTr="001C01D4">
        <w:trPr>
          <w:trHeight w:val="300"/>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0F376491" w14:textId="2FD630F4" w:rsidR="001C01D4" w:rsidRDefault="001C01D4"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L. </w:t>
            </w:r>
            <w:r w:rsidRPr="004947A3">
              <w:rPr>
                <w:rFonts w:ascii="Century Gothic" w:eastAsia="Times New Roman" w:hAnsi="Century Gothic" w:cs="Arial"/>
                <w:color w:val="000000"/>
                <w:sz w:val="16"/>
                <w:szCs w:val="18"/>
                <w:lang w:val="es-PR" w:eastAsia="es-PR"/>
              </w:rPr>
              <w:t>Actividades inmobiliarias</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5B19D748" w14:textId="079F0D80" w:rsidR="001C01D4" w:rsidRPr="001C01D4" w:rsidRDefault="00C207EE"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56</w:t>
            </w:r>
          </w:p>
        </w:tc>
      </w:tr>
      <w:tr w:rsidR="001C01D4" w:rsidRPr="00646F55" w14:paraId="48483694" w14:textId="77777777" w:rsidTr="001C01D4">
        <w:trPr>
          <w:trHeight w:val="300"/>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11AC70E8" w14:textId="72D3FDE0" w:rsidR="001C01D4" w:rsidRPr="001C01D4" w:rsidRDefault="001C01D4"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H. </w:t>
            </w:r>
            <w:r w:rsidRPr="004947A3">
              <w:rPr>
                <w:rFonts w:ascii="Century Gothic" w:eastAsia="Times New Roman" w:hAnsi="Century Gothic" w:cs="Arial"/>
                <w:color w:val="000000"/>
                <w:sz w:val="16"/>
                <w:szCs w:val="18"/>
                <w:lang w:val="es-PR" w:eastAsia="es-PR"/>
              </w:rPr>
              <w:t>Transporte y Almacenamiento</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1F7435FF" w14:textId="4F0E5ED1" w:rsidR="001C01D4" w:rsidRPr="001C01D4" w:rsidRDefault="00C207EE"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53</w:t>
            </w:r>
          </w:p>
        </w:tc>
      </w:tr>
      <w:tr w:rsidR="001C01D4" w:rsidRPr="00646F55" w14:paraId="76A347FA" w14:textId="77777777" w:rsidTr="001C01D4">
        <w:trPr>
          <w:trHeight w:val="300"/>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6BBA06A5" w14:textId="4E609BBF" w:rsidR="001C01D4" w:rsidRPr="001C01D4" w:rsidRDefault="001C01D4"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F. </w:t>
            </w:r>
            <w:r w:rsidRPr="001712A2">
              <w:rPr>
                <w:rFonts w:ascii="Century Gothic" w:eastAsia="Times New Roman" w:hAnsi="Century Gothic" w:cs="Arial"/>
                <w:color w:val="000000"/>
                <w:sz w:val="16"/>
                <w:szCs w:val="18"/>
                <w:lang w:val="es-PR" w:eastAsia="es-PR"/>
              </w:rPr>
              <w:t>Construcción</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5A9DE692" w14:textId="58459DE0" w:rsidR="001C01D4" w:rsidRPr="001C01D4" w:rsidRDefault="00C207EE"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53</w:t>
            </w:r>
          </w:p>
        </w:tc>
      </w:tr>
      <w:tr w:rsidR="00A32EC9" w:rsidRPr="00646F55" w14:paraId="773D3852" w14:textId="77777777" w:rsidTr="00533743">
        <w:trPr>
          <w:trHeight w:val="300"/>
          <w:jc w:val="center"/>
        </w:trPr>
        <w:tc>
          <w:tcPr>
            <w:tcW w:w="3887" w:type="pct"/>
            <w:tcBorders>
              <w:top w:val="single" w:sz="6" w:space="0" w:color="auto"/>
              <w:left w:val="single" w:sz="8" w:space="0" w:color="auto"/>
              <w:bottom w:val="single" w:sz="6" w:space="0" w:color="auto"/>
              <w:right w:val="single" w:sz="8" w:space="0" w:color="auto"/>
            </w:tcBorders>
            <w:shd w:val="clear" w:color="auto" w:fill="B4C6E7" w:themeFill="accent1" w:themeFillTint="66"/>
            <w:vAlign w:val="center"/>
          </w:tcPr>
          <w:p w14:paraId="5280DBC9" w14:textId="2C21A43E" w:rsidR="00A32EC9" w:rsidRPr="001712A2" w:rsidRDefault="00A32EC9" w:rsidP="001712A2">
            <w:pPr>
              <w:jc w:val="center"/>
              <w:rPr>
                <w:rFonts w:ascii="Century Gothic" w:eastAsia="Times New Roman" w:hAnsi="Century Gothic" w:cs="Arial"/>
                <w:b/>
                <w:bCs/>
                <w:color w:val="000000"/>
                <w:sz w:val="16"/>
                <w:szCs w:val="18"/>
                <w:lang w:val="es-PR" w:eastAsia="es-PR"/>
              </w:rPr>
            </w:pPr>
            <w:r w:rsidRPr="001712A2">
              <w:rPr>
                <w:rFonts w:ascii="Century Gothic" w:eastAsia="Times New Roman" w:hAnsi="Century Gothic" w:cs="Arial"/>
                <w:b/>
                <w:bCs/>
                <w:color w:val="000000"/>
                <w:sz w:val="16"/>
                <w:szCs w:val="18"/>
                <w:lang w:val="es-PR" w:eastAsia="es-PR"/>
              </w:rPr>
              <w:t>NACIONAL</w:t>
            </w:r>
          </w:p>
        </w:tc>
        <w:tc>
          <w:tcPr>
            <w:tcW w:w="1113" w:type="pct"/>
            <w:tcBorders>
              <w:top w:val="single" w:sz="6" w:space="0" w:color="auto"/>
              <w:left w:val="single" w:sz="8" w:space="0" w:color="auto"/>
              <w:bottom w:val="single" w:sz="6" w:space="0" w:color="auto"/>
              <w:right w:val="single" w:sz="6" w:space="0" w:color="auto"/>
            </w:tcBorders>
            <w:shd w:val="clear" w:color="auto" w:fill="B4C6E7" w:themeFill="accent1" w:themeFillTint="66"/>
            <w:noWrap/>
            <w:vAlign w:val="center"/>
          </w:tcPr>
          <w:p w14:paraId="347C9C9D" w14:textId="5215F932" w:rsidR="00A32EC9" w:rsidRPr="001712A2" w:rsidRDefault="00C207EE" w:rsidP="001712A2">
            <w:pPr>
              <w:jc w:val="center"/>
              <w:rPr>
                <w:rFonts w:ascii="Century Gothic" w:hAnsi="Century Gothic"/>
                <w:b/>
                <w:bCs/>
                <w:color w:val="000000"/>
                <w:sz w:val="16"/>
                <w:szCs w:val="16"/>
              </w:rPr>
            </w:pPr>
            <w:r>
              <w:rPr>
                <w:rFonts w:ascii="Century Gothic" w:hAnsi="Century Gothic"/>
                <w:b/>
                <w:bCs/>
                <w:color w:val="000000"/>
                <w:sz w:val="16"/>
                <w:szCs w:val="16"/>
              </w:rPr>
              <w:t>51</w:t>
            </w:r>
          </w:p>
        </w:tc>
      </w:tr>
      <w:tr w:rsidR="00A32EC9" w:rsidRPr="00646F55" w14:paraId="7B657868" w14:textId="77777777" w:rsidTr="00533743">
        <w:trPr>
          <w:trHeight w:val="300"/>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02A68B11" w14:textId="1A0853C2" w:rsidR="00A32EC9" w:rsidRPr="00646F55" w:rsidRDefault="001C01D4"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R. </w:t>
            </w:r>
            <w:r w:rsidRPr="004947A3">
              <w:rPr>
                <w:rFonts w:ascii="Century Gothic" w:eastAsia="Times New Roman" w:hAnsi="Century Gothic" w:cs="Arial"/>
                <w:color w:val="000000"/>
                <w:sz w:val="16"/>
                <w:szCs w:val="18"/>
                <w:lang w:val="es-PR" w:eastAsia="es-PR"/>
              </w:rPr>
              <w:t>Artes, entretenimiento y recreación</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4A31C698" w14:textId="5E419E22" w:rsidR="00A32EC9" w:rsidRPr="001712A2" w:rsidRDefault="00A32EC9" w:rsidP="001712A2">
            <w:pPr>
              <w:jc w:val="center"/>
              <w:rPr>
                <w:rFonts w:ascii="Century Gothic" w:hAnsi="Century Gothic"/>
                <w:color w:val="000000"/>
                <w:sz w:val="16"/>
                <w:szCs w:val="16"/>
              </w:rPr>
            </w:pPr>
            <w:r w:rsidRPr="001712A2">
              <w:rPr>
                <w:rFonts w:ascii="Century Gothic" w:hAnsi="Century Gothic"/>
                <w:color w:val="000000"/>
                <w:sz w:val="16"/>
                <w:szCs w:val="16"/>
              </w:rPr>
              <w:t>4</w:t>
            </w:r>
            <w:r w:rsidR="00C207EE">
              <w:rPr>
                <w:rFonts w:ascii="Century Gothic" w:hAnsi="Century Gothic"/>
                <w:color w:val="000000"/>
                <w:sz w:val="16"/>
                <w:szCs w:val="16"/>
              </w:rPr>
              <w:t>0</w:t>
            </w:r>
          </w:p>
        </w:tc>
      </w:tr>
      <w:tr w:rsidR="00A32EC9" w:rsidRPr="00646F55" w14:paraId="54B51760" w14:textId="77777777" w:rsidTr="00533743">
        <w:trPr>
          <w:trHeight w:val="257"/>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7EC91ACC" w14:textId="37F7FCAE" w:rsidR="00A32EC9" w:rsidRPr="001712A2" w:rsidRDefault="001C01D4"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J. </w:t>
            </w:r>
            <w:r w:rsidRPr="004947A3">
              <w:rPr>
                <w:rFonts w:ascii="Century Gothic" w:eastAsia="Times New Roman" w:hAnsi="Century Gothic" w:cs="Arial"/>
                <w:color w:val="000000"/>
                <w:sz w:val="16"/>
                <w:szCs w:val="18"/>
                <w:lang w:val="es-PR" w:eastAsia="es-PR"/>
              </w:rPr>
              <w:t xml:space="preserve">Información y </w:t>
            </w:r>
            <w:r>
              <w:rPr>
                <w:rFonts w:ascii="Century Gothic" w:eastAsia="Times New Roman" w:hAnsi="Century Gothic" w:cs="Arial"/>
                <w:color w:val="000000"/>
                <w:sz w:val="16"/>
                <w:szCs w:val="18"/>
                <w:lang w:val="es-PR" w:eastAsia="es-PR"/>
              </w:rPr>
              <w:t>C</w:t>
            </w:r>
            <w:r w:rsidRPr="004947A3">
              <w:rPr>
                <w:rFonts w:ascii="Century Gothic" w:eastAsia="Times New Roman" w:hAnsi="Century Gothic" w:cs="Arial"/>
                <w:color w:val="000000"/>
                <w:sz w:val="16"/>
                <w:szCs w:val="18"/>
                <w:lang w:val="es-PR" w:eastAsia="es-PR"/>
              </w:rPr>
              <w:t>omunicación</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04160F68" w14:textId="2251CED0" w:rsidR="00A32EC9" w:rsidRPr="001712A2" w:rsidRDefault="006E4829" w:rsidP="001712A2">
            <w:pPr>
              <w:jc w:val="center"/>
              <w:rPr>
                <w:rFonts w:ascii="Century Gothic" w:hAnsi="Century Gothic"/>
                <w:color w:val="000000"/>
                <w:sz w:val="16"/>
                <w:szCs w:val="16"/>
              </w:rPr>
            </w:pPr>
            <w:r>
              <w:rPr>
                <w:rFonts w:ascii="Century Gothic" w:hAnsi="Century Gothic"/>
                <w:color w:val="000000"/>
                <w:sz w:val="16"/>
                <w:szCs w:val="16"/>
              </w:rPr>
              <w:t>37.5</w:t>
            </w:r>
          </w:p>
        </w:tc>
      </w:tr>
      <w:tr w:rsidR="00A32EC9" w:rsidRPr="00646F55" w14:paraId="636FCDD3" w14:textId="77777777" w:rsidTr="00533743">
        <w:trPr>
          <w:trHeight w:val="257"/>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424E9910" w14:textId="724020EB" w:rsidR="00A32EC9" w:rsidRPr="00646F55" w:rsidRDefault="001C01D4" w:rsidP="001712A2">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G. </w:t>
            </w:r>
            <w:r w:rsidRPr="004947A3">
              <w:rPr>
                <w:rFonts w:ascii="Century Gothic" w:eastAsia="Times New Roman" w:hAnsi="Century Gothic" w:cs="Arial"/>
                <w:color w:val="000000"/>
                <w:sz w:val="16"/>
                <w:szCs w:val="18"/>
                <w:lang w:val="es-PR" w:eastAsia="es-PR"/>
              </w:rPr>
              <w:t>Comercio al por mayor y menor</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5C52D6D3" w14:textId="665F2259" w:rsidR="00A32EC9" w:rsidRPr="00646F55" w:rsidRDefault="006E4829" w:rsidP="001712A2">
            <w:pPr>
              <w:jc w:val="center"/>
              <w:rPr>
                <w:rFonts w:ascii="Century Gothic" w:hAnsi="Century Gothic"/>
                <w:color w:val="000000"/>
                <w:sz w:val="16"/>
                <w:szCs w:val="16"/>
              </w:rPr>
            </w:pPr>
            <w:r>
              <w:rPr>
                <w:rFonts w:ascii="Century Gothic" w:hAnsi="Century Gothic"/>
                <w:color w:val="000000"/>
                <w:sz w:val="16"/>
                <w:szCs w:val="16"/>
              </w:rPr>
              <w:t>33</w:t>
            </w:r>
          </w:p>
        </w:tc>
      </w:tr>
      <w:tr w:rsidR="001C01D4" w:rsidRPr="00646F55" w14:paraId="058F775C" w14:textId="77777777" w:rsidTr="00533743">
        <w:trPr>
          <w:trHeight w:val="300"/>
          <w:jc w:val="center"/>
        </w:trPr>
        <w:tc>
          <w:tcPr>
            <w:tcW w:w="3887" w:type="pct"/>
            <w:tcBorders>
              <w:top w:val="single" w:sz="6" w:space="0" w:color="auto"/>
              <w:left w:val="single" w:sz="8" w:space="0" w:color="auto"/>
              <w:bottom w:val="single" w:sz="6" w:space="0" w:color="auto"/>
              <w:right w:val="single" w:sz="8" w:space="0" w:color="auto"/>
            </w:tcBorders>
            <w:shd w:val="clear" w:color="auto" w:fill="auto"/>
            <w:vAlign w:val="center"/>
          </w:tcPr>
          <w:p w14:paraId="1CE36D9E" w14:textId="292BE42F" w:rsidR="001C01D4" w:rsidRPr="00646F55" w:rsidRDefault="001C01D4" w:rsidP="001C01D4">
            <w:pPr>
              <w:jc w:val="center"/>
              <w:rPr>
                <w:rFonts w:ascii="Century Gothic" w:eastAsia="Times New Roman" w:hAnsi="Century Gothic" w:cs="Arial"/>
                <w:color w:val="000000"/>
                <w:sz w:val="16"/>
                <w:szCs w:val="18"/>
                <w:lang w:val="es-PR" w:eastAsia="es-PR"/>
              </w:rPr>
            </w:pPr>
            <w:r>
              <w:rPr>
                <w:rFonts w:ascii="Century Gothic" w:eastAsia="Times New Roman" w:hAnsi="Century Gothic" w:cs="Arial"/>
                <w:color w:val="000000"/>
                <w:sz w:val="16"/>
                <w:szCs w:val="18"/>
                <w:lang w:val="es-PR" w:eastAsia="es-PR"/>
              </w:rPr>
              <w:t xml:space="preserve">K. </w:t>
            </w:r>
            <w:r w:rsidRPr="004947A3">
              <w:rPr>
                <w:rFonts w:ascii="Century Gothic" w:eastAsia="Times New Roman" w:hAnsi="Century Gothic" w:cs="Arial"/>
                <w:color w:val="000000"/>
                <w:sz w:val="16"/>
                <w:szCs w:val="18"/>
                <w:lang w:val="es-PR" w:eastAsia="es-PR"/>
              </w:rPr>
              <w:t>Actividades financieras y de seguros</w:t>
            </w:r>
          </w:p>
        </w:tc>
        <w:tc>
          <w:tcPr>
            <w:tcW w:w="1113" w:type="pct"/>
            <w:tcBorders>
              <w:top w:val="single" w:sz="6" w:space="0" w:color="auto"/>
              <w:left w:val="single" w:sz="8" w:space="0" w:color="auto"/>
              <w:bottom w:val="single" w:sz="6" w:space="0" w:color="auto"/>
              <w:right w:val="single" w:sz="6" w:space="0" w:color="auto"/>
            </w:tcBorders>
            <w:shd w:val="clear" w:color="auto" w:fill="auto"/>
            <w:noWrap/>
            <w:vAlign w:val="center"/>
          </w:tcPr>
          <w:p w14:paraId="5BF0F766" w14:textId="3B973C14" w:rsidR="001C01D4" w:rsidRPr="00646F55" w:rsidRDefault="006E4829" w:rsidP="001C01D4">
            <w:pPr>
              <w:jc w:val="center"/>
              <w:rPr>
                <w:rFonts w:ascii="Century Gothic" w:hAnsi="Century Gothic"/>
                <w:color w:val="000000"/>
                <w:sz w:val="16"/>
                <w:szCs w:val="16"/>
              </w:rPr>
            </w:pPr>
            <w:r>
              <w:rPr>
                <w:rFonts w:ascii="Century Gothic" w:hAnsi="Century Gothic"/>
                <w:color w:val="000000"/>
                <w:sz w:val="16"/>
                <w:szCs w:val="16"/>
              </w:rPr>
              <w:t>23.5</w:t>
            </w:r>
          </w:p>
        </w:tc>
      </w:tr>
    </w:tbl>
    <w:p w14:paraId="312034B1" w14:textId="77777777" w:rsidR="00646F55" w:rsidRPr="00646F55" w:rsidRDefault="00646F55" w:rsidP="00646F55">
      <w:pPr>
        <w:jc w:val="both"/>
        <w:rPr>
          <w:rFonts w:ascii="Century Gothic" w:hAnsi="Century Gothic" w:cs="Calibri"/>
          <w:b/>
          <w:color w:val="404040" w:themeColor="text1" w:themeTint="BF"/>
          <w:sz w:val="16"/>
          <w:szCs w:val="14"/>
        </w:rPr>
      </w:pPr>
    </w:p>
    <w:p w14:paraId="3B923B73" w14:textId="3BA67B6C"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Fuente:</w:t>
      </w:r>
      <w:r w:rsidRPr="00646F55">
        <w:rPr>
          <w:rFonts w:ascii="Century Gothic" w:hAnsi="Century Gothic" w:cs="Calibri"/>
          <w:color w:val="404040" w:themeColor="text1" w:themeTint="BF"/>
          <w:sz w:val="14"/>
          <w:szCs w:val="14"/>
        </w:rPr>
        <w:t xml:space="preserve"> Módulo Ambiental </w:t>
      </w:r>
      <w:r w:rsidR="00EE29C2">
        <w:rPr>
          <w:rFonts w:ascii="Century Gothic" w:hAnsi="Century Gothic" w:cs="Calibri"/>
          <w:color w:val="404040" w:themeColor="text1" w:themeTint="BF"/>
          <w:sz w:val="14"/>
          <w:szCs w:val="14"/>
        </w:rPr>
        <w:t xml:space="preserve">Económica </w:t>
      </w:r>
      <w:r w:rsidRPr="00646F55">
        <w:rPr>
          <w:rFonts w:ascii="Century Gothic" w:hAnsi="Century Gothic" w:cs="Calibri"/>
          <w:color w:val="404040" w:themeColor="text1" w:themeTint="BF"/>
          <w:sz w:val="14"/>
          <w:szCs w:val="14"/>
        </w:rPr>
        <w:t xml:space="preserve">ENESEM </w:t>
      </w:r>
      <w:r w:rsidR="003540AD">
        <w:rPr>
          <w:rFonts w:ascii="Century Gothic" w:hAnsi="Century Gothic" w:cs="Calibri"/>
          <w:color w:val="404040" w:themeColor="text1" w:themeTint="BF"/>
          <w:sz w:val="14"/>
          <w:szCs w:val="14"/>
        </w:rPr>
        <w:t>202</w:t>
      </w:r>
      <w:r w:rsidR="00A32EC9">
        <w:rPr>
          <w:rFonts w:ascii="Century Gothic" w:hAnsi="Century Gothic" w:cs="Calibri"/>
          <w:color w:val="404040" w:themeColor="text1" w:themeTint="BF"/>
          <w:sz w:val="14"/>
          <w:szCs w:val="14"/>
        </w:rPr>
        <w:t>1</w:t>
      </w:r>
      <w:r w:rsidRPr="00646F55">
        <w:rPr>
          <w:rFonts w:ascii="Century Gothic" w:hAnsi="Century Gothic" w:cs="Calibri"/>
          <w:color w:val="404040" w:themeColor="text1" w:themeTint="BF"/>
          <w:sz w:val="14"/>
          <w:szCs w:val="14"/>
        </w:rPr>
        <w:t>.</w:t>
      </w:r>
    </w:p>
    <w:p w14:paraId="06DE4463" w14:textId="77777777" w:rsidR="00FD4216" w:rsidRDefault="00FD4216" w:rsidP="00646F55">
      <w:pPr>
        <w:jc w:val="both"/>
        <w:rPr>
          <w:rFonts w:ascii="Century Gothic" w:hAnsi="Century Gothic" w:cstheme="minorHAnsi"/>
          <w:sz w:val="20"/>
        </w:rPr>
      </w:pPr>
    </w:p>
    <w:p w14:paraId="73FF79C0" w14:textId="663DABE9" w:rsidR="00646F55" w:rsidRDefault="00FD4216" w:rsidP="00646F55">
      <w:pPr>
        <w:jc w:val="both"/>
        <w:rPr>
          <w:rFonts w:ascii="Century Gothic" w:hAnsi="Century Gothic" w:cstheme="minorHAnsi"/>
          <w:sz w:val="21"/>
          <w:szCs w:val="21"/>
        </w:rPr>
      </w:pPr>
      <w:r>
        <w:rPr>
          <w:rFonts w:ascii="Century Gothic" w:hAnsi="Century Gothic" w:cstheme="minorHAnsi"/>
          <w:sz w:val="20"/>
        </w:rPr>
        <w:t>En</w:t>
      </w:r>
      <w:r w:rsidR="00646F55" w:rsidRPr="007B1E22">
        <w:rPr>
          <w:rFonts w:ascii="Century Gothic" w:hAnsi="Century Gothic" w:cstheme="minorHAnsi"/>
          <w:sz w:val="21"/>
          <w:szCs w:val="21"/>
        </w:rPr>
        <w:t xml:space="preserve"> la tabla anterior se </w:t>
      </w:r>
      <w:r>
        <w:rPr>
          <w:rFonts w:ascii="Century Gothic" w:hAnsi="Century Gothic" w:cstheme="minorHAnsi"/>
          <w:sz w:val="21"/>
          <w:szCs w:val="21"/>
        </w:rPr>
        <w:t>observa</w:t>
      </w:r>
      <w:r w:rsidR="00646F55" w:rsidRPr="007B1E22">
        <w:rPr>
          <w:rFonts w:ascii="Century Gothic" w:hAnsi="Century Gothic" w:cstheme="minorHAnsi"/>
          <w:sz w:val="21"/>
          <w:szCs w:val="21"/>
        </w:rPr>
        <w:t xml:space="preserve"> que la actividad con el menor impac</w:t>
      </w:r>
      <w:r w:rsidR="007F1775">
        <w:rPr>
          <w:rFonts w:ascii="Century Gothic" w:hAnsi="Century Gothic" w:cstheme="minorHAnsi"/>
          <w:sz w:val="21"/>
          <w:szCs w:val="21"/>
        </w:rPr>
        <w:t xml:space="preserve">to ambiental mediano es </w:t>
      </w:r>
      <w:r w:rsidR="007F1775" w:rsidRPr="007F1775">
        <w:rPr>
          <w:rFonts w:ascii="Century Gothic" w:hAnsi="Century Gothic" w:cstheme="minorHAnsi"/>
          <w:i/>
          <w:iCs/>
          <w:sz w:val="21"/>
          <w:szCs w:val="21"/>
        </w:rPr>
        <w:t>K. Actividades financieras y de seguros</w:t>
      </w:r>
      <w:r w:rsidR="007F1775">
        <w:rPr>
          <w:rFonts w:ascii="Century Gothic" w:hAnsi="Century Gothic" w:cstheme="minorHAnsi"/>
          <w:i/>
          <w:iCs/>
          <w:sz w:val="21"/>
          <w:szCs w:val="21"/>
        </w:rPr>
        <w:t xml:space="preserve"> </w:t>
      </w:r>
      <w:r w:rsidR="007F1775" w:rsidRPr="007F1775">
        <w:t>(IA = 23.5)</w:t>
      </w:r>
      <w:r w:rsidR="007F1775">
        <w:rPr>
          <w:rFonts w:ascii="Century Gothic" w:hAnsi="Century Gothic" w:cstheme="minorHAnsi"/>
          <w:sz w:val="21"/>
          <w:szCs w:val="21"/>
        </w:rPr>
        <w:t xml:space="preserve">, debido sobre todo a un bajo consumo de agua y a un bajo consumo de combustibles fósiles, así como a una escasa generación de desechos y/o </w:t>
      </w:r>
      <w:r w:rsidR="007F1775">
        <w:rPr>
          <w:rFonts w:ascii="Century Gothic" w:hAnsi="Century Gothic" w:cstheme="minorHAnsi"/>
          <w:sz w:val="21"/>
          <w:szCs w:val="21"/>
        </w:rPr>
        <w:lastRenderedPageBreak/>
        <w:t>residuos. En cambio, l</w:t>
      </w:r>
      <w:r w:rsidR="00646F55" w:rsidRPr="007B1E22">
        <w:rPr>
          <w:rFonts w:ascii="Century Gothic" w:hAnsi="Century Gothic" w:cstheme="minorHAnsi"/>
          <w:sz w:val="21"/>
          <w:szCs w:val="21"/>
        </w:rPr>
        <w:t xml:space="preserve">a actividad con mayor impacto ambiental es </w:t>
      </w:r>
      <w:r w:rsidR="007F1775" w:rsidRPr="007F1775">
        <w:rPr>
          <w:rFonts w:ascii="Century Gothic" w:hAnsi="Century Gothic" w:cstheme="minorHAnsi"/>
          <w:i/>
          <w:iCs/>
          <w:sz w:val="21"/>
          <w:szCs w:val="21"/>
        </w:rPr>
        <w:t>B. Explotación de minas y canteras</w:t>
      </w:r>
      <w:r w:rsidR="001D57A1">
        <w:rPr>
          <w:rFonts w:ascii="Century Gothic" w:hAnsi="Century Gothic" w:cstheme="minorHAnsi"/>
          <w:sz w:val="21"/>
          <w:szCs w:val="21"/>
        </w:rPr>
        <w:t xml:space="preserve"> (IA = 80)</w:t>
      </w:r>
      <w:r w:rsidR="00646F55" w:rsidRPr="007B1E22">
        <w:rPr>
          <w:rFonts w:ascii="Century Gothic" w:hAnsi="Century Gothic" w:cstheme="minorHAnsi"/>
          <w:sz w:val="21"/>
          <w:szCs w:val="21"/>
        </w:rPr>
        <w:t>, debido a que</w:t>
      </w:r>
      <w:r w:rsidR="00F33F52">
        <w:rPr>
          <w:rFonts w:ascii="Century Gothic" w:hAnsi="Century Gothic" w:cstheme="minorHAnsi"/>
          <w:sz w:val="21"/>
          <w:szCs w:val="21"/>
        </w:rPr>
        <w:t xml:space="preserve"> por la naturaleza de sus procesos productivos genera residuos especiales y peligrosos los cuales no siempre se los gestiona de forma adecuada. Además, este sector es uno de los mayores consumidores de agua y energía, sin contar con varios tipos de afectaciones físicas, químicas y biológicas al entorno que rodea a las empresas del sector.</w:t>
      </w:r>
    </w:p>
    <w:p w14:paraId="042BB869" w14:textId="77777777" w:rsidR="00A0183C" w:rsidRPr="007B1E22" w:rsidRDefault="00A0183C" w:rsidP="00646F55">
      <w:pPr>
        <w:jc w:val="both"/>
        <w:rPr>
          <w:rFonts w:ascii="Century Gothic" w:hAnsi="Century Gothic" w:cstheme="minorHAnsi"/>
          <w:sz w:val="21"/>
          <w:szCs w:val="21"/>
        </w:rPr>
      </w:pPr>
    </w:p>
    <w:p w14:paraId="205C58DC" w14:textId="36DF1100" w:rsidR="00646F55" w:rsidRPr="007B1E22" w:rsidRDefault="00646F55" w:rsidP="00646F55">
      <w:pPr>
        <w:jc w:val="both"/>
        <w:rPr>
          <w:rFonts w:ascii="Century Gothic" w:hAnsi="Century Gothic" w:cstheme="minorHAnsi"/>
          <w:sz w:val="21"/>
          <w:szCs w:val="21"/>
        </w:rPr>
      </w:pPr>
      <w:r w:rsidRPr="007B1E22">
        <w:rPr>
          <w:rFonts w:ascii="Century Gothic" w:hAnsi="Century Gothic" w:cstheme="minorHAnsi"/>
          <w:sz w:val="21"/>
          <w:szCs w:val="21"/>
        </w:rPr>
        <w:t xml:space="preserve">Según la lógica del nuevo agregado de impacto ambiental, el ordenamiento de las actividades económicas según su nivel de impacto es </w:t>
      </w:r>
      <w:r w:rsidR="00C93DF6">
        <w:rPr>
          <w:rFonts w:ascii="Century Gothic" w:hAnsi="Century Gothic" w:cstheme="minorHAnsi"/>
          <w:sz w:val="21"/>
          <w:szCs w:val="21"/>
        </w:rPr>
        <w:t xml:space="preserve">ahora </w:t>
      </w:r>
      <w:r w:rsidRPr="007B1E22">
        <w:rPr>
          <w:rFonts w:ascii="Century Gothic" w:hAnsi="Century Gothic" w:cstheme="minorHAnsi"/>
          <w:sz w:val="21"/>
          <w:szCs w:val="21"/>
        </w:rPr>
        <w:t xml:space="preserve">más intuitivo, </w:t>
      </w:r>
      <w:r w:rsidR="00C93DF6">
        <w:rPr>
          <w:rFonts w:ascii="Century Gothic" w:hAnsi="Century Gothic" w:cstheme="minorHAnsi"/>
          <w:sz w:val="21"/>
          <w:szCs w:val="21"/>
        </w:rPr>
        <w:t>ya qu</w:t>
      </w:r>
      <w:r w:rsidRPr="007B1E22">
        <w:rPr>
          <w:rFonts w:ascii="Century Gothic" w:hAnsi="Century Gothic" w:cstheme="minorHAnsi"/>
          <w:sz w:val="21"/>
          <w:szCs w:val="21"/>
        </w:rPr>
        <w:t>e las empresas pertenecientes a las actividades con mayor impacto percibido en el ambiente están sobre el nivel mediano nacional, mientras que las demás actividades tienen niveles de impacto inferior al valor mediano nacional.</w:t>
      </w:r>
    </w:p>
    <w:p w14:paraId="11C9B529" w14:textId="77777777" w:rsidR="00646F55" w:rsidRPr="007B1E22" w:rsidRDefault="00646F55" w:rsidP="00646F55">
      <w:pPr>
        <w:jc w:val="both"/>
        <w:rPr>
          <w:rFonts w:ascii="Century Gothic" w:hAnsi="Century Gothic" w:cstheme="minorHAnsi"/>
          <w:sz w:val="21"/>
          <w:szCs w:val="21"/>
        </w:rPr>
      </w:pPr>
    </w:p>
    <w:p w14:paraId="026ED03A" w14:textId="756E254C" w:rsidR="00DA51DD" w:rsidRDefault="00646F55" w:rsidP="00646F55">
      <w:pPr>
        <w:jc w:val="both"/>
        <w:rPr>
          <w:rFonts w:ascii="Century Gothic" w:hAnsi="Century Gothic" w:cs="Times New Roman"/>
          <w:sz w:val="21"/>
          <w:szCs w:val="21"/>
          <w:lang w:val="es-ES_tradnl" w:eastAsia="es-ES_tradnl"/>
        </w:rPr>
      </w:pPr>
      <w:r w:rsidRPr="007B1E22">
        <w:rPr>
          <w:rFonts w:ascii="Century Gothic" w:hAnsi="Century Gothic" w:cstheme="minorHAnsi"/>
          <w:sz w:val="21"/>
          <w:szCs w:val="21"/>
        </w:rPr>
        <w:t>El p</w:t>
      </w:r>
      <w:r w:rsidR="00B22A19">
        <w:rPr>
          <w:rFonts w:ascii="Century Gothic" w:hAnsi="Century Gothic" w:cstheme="minorHAnsi"/>
          <w:sz w:val="21"/>
          <w:szCs w:val="21"/>
        </w:rPr>
        <w:t>u</w:t>
      </w:r>
      <w:r w:rsidRPr="007B1E22">
        <w:rPr>
          <w:rFonts w:ascii="Century Gothic" w:hAnsi="Century Gothic" w:cstheme="minorHAnsi"/>
          <w:sz w:val="21"/>
          <w:szCs w:val="21"/>
        </w:rPr>
        <w:t xml:space="preserve">ntaje que aparece por actividad económica en la Tabla 2 se obtuvo como </w:t>
      </w:r>
      <w:r w:rsidR="00B22A19">
        <w:rPr>
          <w:rFonts w:ascii="Century Gothic" w:hAnsi="Century Gothic" w:cstheme="minorHAnsi"/>
          <w:sz w:val="21"/>
          <w:szCs w:val="21"/>
        </w:rPr>
        <w:t xml:space="preserve">la transformación en centiles de </w:t>
      </w:r>
      <w:r w:rsidRPr="007B1E22">
        <w:rPr>
          <w:rFonts w:ascii="Century Gothic" w:hAnsi="Century Gothic" w:cstheme="minorHAnsi"/>
          <w:sz w:val="21"/>
          <w:szCs w:val="21"/>
        </w:rPr>
        <w:t xml:space="preserve">un </w:t>
      </w:r>
      <w:r w:rsidRPr="007B1E22">
        <w:rPr>
          <w:rFonts w:ascii="Century Gothic" w:hAnsi="Century Gothic" w:cs="Times New Roman"/>
          <w:sz w:val="21"/>
          <w:szCs w:val="21"/>
          <w:lang w:val="es-ES_tradnl" w:eastAsia="es-ES_tradnl"/>
        </w:rPr>
        <w:t xml:space="preserve">agregado aditivo del logaritmo decimal de las variables de escala. </w:t>
      </w:r>
      <w:r w:rsidR="00DA51DD">
        <w:rPr>
          <w:rFonts w:ascii="Century Gothic" w:hAnsi="Century Gothic" w:cs="Times New Roman"/>
          <w:sz w:val="21"/>
          <w:szCs w:val="21"/>
          <w:lang w:val="es-ES_tradnl" w:eastAsia="es-ES_tradnl"/>
        </w:rPr>
        <w:t xml:space="preserve">A todas las empresas con valores del agregado absoluto entre el centil 0 y el centil 1 se les asignó el valor de 1 como Impacto Ambiental, a aquellas con valores del agregado absoluto entre el centil 1 y el centil 2 se les asignó el valor 2, y así sucesivamente hasta asignar a todas las empresas un valor </w:t>
      </w:r>
      <w:r w:rsidR="006272A2">
        <w:rPr>
          <w:rFonts w:ascii="Century Gothic" w:hAnsi="Century Gothic" w:cs="Times New Roman"/>
          <w:sz w:val="21"/>
          <w:szCs w:val="21"/>
          <w:lang w:val="es-ES_tradnl" w:eastAsia="es-ES_tradnl"/>
        </w:rPr>
        <w:t>entre</w:t>
      </w:r>
      <w:r w:rsidR="00DA51DD">
        <w:rPr>
          <w:rFonts w:ascii="Century Gothic" w:hAnsi="Century Gothic" w:cs="Times New Roman"/>
          <w:sz w:val="21"/>
          <w:szCs w:val="21"/>
          <w:lang w:val="es-ES_tradnl" w:eastAsia="es-ES_tradnl"/>
        </w:rPr>
        <w:t xml:space="preserve"> 1 </w:t>
      </w:r>
      <w:r w:rsidR="006272A2">
        <w:rPr>
          <w:rFonts w:ascii="Century Gothic" w:hAnsi="Century Gothic" w:cs="Times New Roman"/>
          <w:sz w:val="21"/>
          <w:szCs w:val="21"/>
          <w:lang w:val="es-ES_tradnl" w:eastAsia="es-ES_tradnl"/>
        </w:rPr>
        <w:t>y</w:t>
      </w:r>
      <w:r w:rsidR="00DA51DD">
        <w:rPr>
          <w:rFonts w:ascii="Century Gothic" w:hAnsi="Century Gothic" w:cs="Times New Roman"/>
          <w:sz w:val="21"/>
          <w:szCs w:val="21"/>
          <w:lang w:val="es-ES_tradnl" w:eastAsia="es-ES_tradnl"/>
        </w:rPr>
        <w:t xml:space="preserve"> 100.</w:t>
      </w:r>
    </w:p>
    <w:p w14:paraId="490813CF" w14:textId="55ECD1BA" w:rsidR="00DA51DD" w:rsidRDefault="00DA51DD" w:rsidP="00646F55">
      <w:pPr>
        <w:jc w:val="both"/>
        <w:rPr>
          <w:rFonts w:ascii="Century Gothic" w:hAnsi="Century Gothic" w:cs="Times New Roman"/>
          <w:sz w:val="21"/>
          <w:szCs w:val="21"/>
          <w:lang w:val="es-ES_tradnl" w:eastAsia="es-ES_tradnl"/>
        </w:rPr>
      </w:pPr>
    </w:p>
    <w:p w14:paraId="02379315" w14:textId="2CDD3A2B" w:rsidR="00646F55" w:rsidRDefault="00DA51DD" w:rsidP="00DA51DD">
      <w:pPr>
        <w:jc w:val="both"/>
        <w:rPr>
          <w:rFonts w:ascii="Century Gothic" w:hAnsi="Century Gothic" w:cs="Times New Roman"/>
          <w:sz w:val="21"/>
          <w:szCs w:val="21"/>
          <w:lang w:val="es-ES_tradnl" w:eastAsia="es-ES_tradnl"/>
        </w:rPr>
      </w:pPr>
      <w:r>
        <w:rPr>
          <w:rFonts w:ascii="Century Gothic" w:hAnsi="Century Gothic" w:cs="Times New Roman"/>
          <w:sz w:val="21"/>
          <w:szCs w:val="21"/>
          <w:lang w:val="es-ES_tradnl" w:eastAsia="es-ES_tradnl"/>
        </w:rPr>
        <w:t>El Impacto Ambiental (IA) resultante es una medida cuali-cuantitativa del impacto negativo que causa cada una de las empresas investigadas en el ambiente. Su interpretación es directa</w:t>
      </w:r>
      <w:r w:rsidR="00F033F3">
        <w:rPr>
          <w:rFonts w:ascii="Century Gothic" w:hAnsi="Century Gothic" w:cs="Times New Roman"/>
          <w:sz w:val="21"/>
          <w:szCs w:val="21"/>
          <w:lang w:val="es-ES_tradnl" w:eastAsia="es-ES_tradnl"/>
        </w:rPr>
        <w:t xml:space="preserve">, </w:t>
      </w:r>
      <w:r>
        <w:rPr>
          <w:rFonts w:ascii="Century Gothic" w:hAnsi="Century Gothic" w:cs="Times New Roman"/>
          <w:sz w:val="21"/>
          <w:szCs w:val="21"/>
          <w:lang w:val="es-ES_tradnl" w:eastAsia="es-ES_tradnl"/>
        </w:rPr>
        <w:t xml:space="preserve">sencilla y permite ordenar a las empresas en un </w:t>
      </w:r>
      <w:r w:rsidR="00C816B4">
        <w:rPr>
          <w:rFonts w:ascii="Century Gothic" w:hAnsi="Century Gothic" w:cs="Times New Roman"/>
          <w:sz w:val="21"/>
          <w:szCs w:val="21"/>
          <w:lang w:val="es-ES_tradnl" w:eastAsia="es-ES_tradnl"/>
        </w:rPr>
        <w:t>escalafón</w:t>
      </w:r>
      <w:r>
        <w:rPr>
          <w:rFonts w:ascii="Century Gothic" w:hAnsi="Century Gothic" w:cs="Times New Roman"/>
          <w:sz w:val="21"/>
          <w:szCs w:val="21"/>
          <w:lang w:val="es-ES_tradnl" w:eastAsia="es-ES_tradnl"/>
        </w:rPr>
        <w:t xml:space="preserve"> que va desde las que causan </w:t>
      </w:r>
      <w:r w:rsidR="00206350">
        <w:rPr>
          <w:rFonts w:ascii="Century Gothic" w:hAnsi="Century Gothic" w:cs="Times New Roman"/>
          <w:sz w:val="21"/>
          <w:szCs w:val="21"/>
          <w:lang w:val="es-ES_tradnl" w:eastAsia="es-ES_tradnl"/>
        </w:rPr>
        <w:t>el</w:t>
      </w:r>
      <w:r>
        <w:rPr>
          <w:rFonts w:ascii="Century Gothic" w:hAnsi="Century Gothic" w:cs="Times New Roman"/>
          <w:sz w:val="21"/>
          <w:szCs w:val="21"/>
          <w:lang w:val="es-ES_tradnl" w:eastAsia="es-ES_tradnl"/>
        </w:rPr>
        <w:t xml:space="preserve"> menor impacto hasta las que causan el mayor impacto así d</w:t>
      </w:r>
      <w:r w:rsidR="00206350">
        <w:rPr>
          <w:rFonts w:ascii="Century Gothic" w:hAnsi="Century Gothic" w:cs="Times New Roman"/>
          <w:sz w:val="21"/>
          <w:szCs w:val="21"/>
          <w:lang w:val="es-ES_tradnl" w:eastAsia="es-ES_tradnl"/>
        </w:rPr>
        <w:t>efin</w:t>
      </w:r>
      <w:r>
        <w:rPr>
          <w:rFonts w:ascii="Century Gothic" w:hAnsi="Century Gothic" w:cs="Times New Roman"/>
          <w:sz w:val="21"/>
          <w:szCs w:val="21"/>
          <w:lang w:val="es-ES_tradnl" w:eastAsia="es-ES_tradnl"/>
        </w:rPr>
        <w:t>ido.</w:t>
      </w:r>
    </w:p>
    <w:p w14:paraId="56DBA84F" w14:textId="00691B94" w:rsidR="00DA51DD" w:rsidRPr="007B1E22" w:rsidRDefault="00DA51DD" w:rsidP="00DA51DD">
      <w:pPr>
        <w:jc w:val="both"/>
        <w:rPr>
          <w:rFonts w:ascii="Century Gothic" w:hAnsi="Century Gothic" w:cstheme="minorHAnsi"/>
          <w:sz w:val="21"/>
          <w:szCs w:val="21"/>
        </w:rPr>
      </w:pPr>
      <w:r>
        <w:rPr>
          <w:rFonts w:ascii="Century Gothic" w:hAnsi="Century Gothic" w:cs="Times New Roman"/>
          <w:sz w:val="21"/>
          <w:szCs w:val="21"/>
          <w:lang w:val="es-ES_tradnl" w:eastAsia="es-ES_tradnl"/>
        </w:rPr>
        <w:t xml:space="preserve">Otra de las ventajas de este IA 2021 es que permite identificar en cuál(es) variable(s) escalar(es) tiene una empresa valores elevados, de manera </w:t>
      </w:r>
      <w:r w:rsidR="003E7A6F">
        <w:rPr>
          <w:rFonts w:ascii="Century Gothic" w:hAnsi="Century Gothic" w:cs="Times New Roman"/>
          <w:sz w:val="21"/>
          <w:szCs w:val="21"/>
          <w:lang w:val="es-ES_tradnl" w:eastAsia="es-ES_tradnl"/>
        </w:rPr>
        <w:t>tal que pueda compararse en esta(s) variable(s) con empresas similares -es</w:t>
      </w:r>
      <w:r w:rsidR="00FC7E9A">
        <w:rPr>
          <w:rFonts w:ascii="Century Gothic" w:hAnsi="Century Gothic" w:cs="Times New Roman"/>
          <w:sz w:val="21"/>
          <w:szCs w:val="21"/>
          <w:lang w:val="es-ES_tradnl" w:eastAsia="es-ES_tradnl"/>
        </w:rPr>
        <w:t xml:space="preserve"> decir</w:t>
      </w:r>
      <w:r w:rsidR="003E7A6F">
        <w:rPr>
          <w:rFonts w:ascii="Century Gothic" w:hAnsi="Century Gothic" w:cs="Times New Roman"/>
          <w:sz w:val="21"/>
          <w:szCs w:val="21"/>
          <w:lang w:val="es-ES_tradnl" w:eastAsia="es-ES_tradnl"/>
        </w:rPr>
        <w:t xml:space="preserve">, de </w:t>
      </w:r>
      <w:r w:rsidR="00FC7E9A">
        <w:rPr>
          <w:rFonts w:ascii="Century Gothic" w:hAnsi="Century Gothic" w:cs="Times New Roman"/>
          <w:sz w:val="21"/>
          <w:szCs w:val="21"/>
          <w:lang w:val="es-ES_tradnl" w:eastAsia="es-ES_tradnl"/>
        </w:rPr>
        <w:t>igual</w:t>
      </w:r>
      <w:r w:rsidR="003E7A6F">
        <w:rPr>
          <w:rFonts w:ascii="Century Gothic" w:hAnsi="Century Gothic" w:cs="Times New Roman"/>
          <w:sz w:val="21"/>
          <w:szCs w:val="21"/>
          <w:lang w:val="es-ES_tradnl" w:eastAsia="es-ES_tradnl"/>
        </w:rPr>
        <w:t xml:space="preserve"> actividad económica y tamaño- y optimizar sus valores en consonancia.</w:t>
      </w:r>
    </w:p>
    <w:p w14:paraId="29122E0C" w14:textId="77777777" w:rsidR="00646F55" w:rsidRPr="007B1E22" w:rsidRDefault="00646F55" w:rsidP="00646F55">
      <w:pPr>
        <w:jc w:val="both"/>
        <w:rPr>
          <w:rFonts w:ascii="Century Gothic" w:hAnsi="Century Gothic" w:cstheme="minorHAnsi"/>
          <w:sz w:val="21"/>
          <w:szCs w:val="21"/>
        </w:rPr>
      </w:pPr>
    </w:p>
    <w:p w14:paraId="397D5CA7" w14:textId="3D2F60D9" w:rsidR="00646F55" w:rsidRPr="007B1E22" w:rsidRDefault="00000B44" w:rsidP="00646F55">
      <w:pPr>
        <w:jc w:val="both"/>
        <w:rPr>
          <w:rFonts w:ascii="Century Gothic" w:hAnsi="Century Gothic" w:cstheme="minorHAnsi"/>
          <w:sz w:val="21"/>
          <w:szCs w:val="21"/>
        </w:rPr>
      </w:pPr>
      <w:r>
        <w:rPr>
          <w:rFonts w:ascii="Century Gothic" w:hAnsi="Century Gothic" w:cstheme="minorHAnsi"/>
          <w:sz w:val="21"/>
          <w:szCs w:val="21"/>
        </w:rPr>
        <w:t xml:space="preserve">Una observación importante sobre los resultados de la IA 2021 obtenidos es que, a pesar que el valor mediano de una actividad económica puede ser relativamente bajo -como es el caso del sector </w:t>
      </w:r>
      <w:r w:rsidRPr="00000B44">
        <w:rPr>
          <w:rFonts w:ascii="Century Gothic" w:hAnsi="Century Gothic" w:cstheme="minorHAnsi"/>
          <w:i/>
          <w:iCs/>
          <w:sz w:val="21"/>
          <w:szCs w:val="21"/>
        </w:rPr>
        <w:t>G. Comercio al por mayor y menor</w:t>
      </w:r>
      <w:r>
        <w:rPr>
          <w:rFonts w:ascii="Century Gothic" w:hAnsi="Century Gothic" w:cstheme="minorHAnsi"/>
          <w:sz w:val="21"/>
          <w:szCs w:val="21"/>
        </w:rPr>
        <w:t xml:space="preserve"> (IA = 33)</w:t>
      </w:r>
      <w:r w:rsidR="00C816B4">
        <w:rPr>
          <w:rFonts w:ascii="Century Gothic" w:hAnsi="Century Gothic" w:cstheme="minorHAnsi"/>
          <w:sz w:val="21"/>
          <w:szCs w:val="21"/>
        </w:rPr>
        <w:t>-</w:t>
      </w:r>
      <w:r>
        <w:rPr>
          <w:rFonts w:ascii="Century Gothic" w:hAnsi="Century Gothic" w:cstheme="minorHAnsi"/>
          <w:sz w:val="21"/>
          <w:szCs w:val="21"/>
        </w:rPr>
        <w:t>, al desagregar la IA por tamaño de empresa se obtienen los siguientes resultados: Mediana A -&gt; IA = 90; Mediana B -&gt; IA = 25; Gran empresa -&gt; IA = 34.</w:t>
      </w:r>
    </w:p>
    <w:p w14:paraId="1958386E" w14:textId="77777777" w:rsidR="00646F55" w:rsidRPr="007B1E22" w:rsidRDefault="00646F55" w:rsidP="00646F55">
      <w:pPr>
        <w:jc w:val="both"/>
        <w:rPr>
          <w:rFonts w:ascii="Century Gothic" w:hAnsi="Century Gothic" w:cstheme="minorHAnsi"/>
          <w:sz w:val="21"/>
          <w:szCs w:val="21"/>
        </w:rPr>
      </w:pPr>
    </w:p>
    <w:p w14:paraId="451BEEFD" w14:textId="15C841EA" w:rsidR="00646F55" w:rsidRPr="001B187F" w:rsidRDefault="00646F55" w:rsidP="00646F55">
      <w:pPr>
        <w:jc w:val="both"/>
        <w:rPr>
          <w:rFonts w:ascii="Century Gothic" w:hAnsi="Century Gothic" w:cstheme="minorHAnsi"/>
          <w:sz w:val="21"/>
          <w:szCs w:val="21"/>
        </w:rPr>
      </w:pPr>
      <w:r w:rsidRPr="001B187F">
        <w:rPr>
          <w:rFonts w:ascii="Century Gothic" w:hAnsi="Century Gothic" w:cstheme="minorHAnsi"/>
          <w:sz w:val="21"/>
          <w:szCs w:val="21"/>
        </w:rPr>
        <w:t>En la Figura 2 se muestra</w:t>
      </w:r>
      <w:r w:rsidR="005D53D9">
        <w:rPr>
          <w:rFonts w:ascii="Century Gothic" w:hAnsi="Century Gothic" w:cstheme="minorHAnsi"/>
          <w:sz w:val="21"/>
          <w:szCs w:val="21"/>
        </w:rPr>
        <w:t>n 4 series</w:t>
      </w:r>
      <w:r w:rsidRPr="001B187F">
        <w:rPr>
          <w:rFonts w:ascii="Century Gothic" w:hAnsi="Century Gothic" w:cstheme="minorHAnsi"/>
          <w:sz w:val="21"/>
          <w:szCs w:val="21"/>
        </w:rPr>
        <w:t>, el</w:t>
      </w:r>
      <w:r w:rsidR="005D53D9">
        <w:rPr>
          <w:rFonts w:ascii="Century Gothic" w:hAnsi="Century Gothic" w:cstheme="minorHAnsi"/>
          <w:sz w:val="21"/>
          <w:szCs w:val="21"/>
        </w:rPr>
        <w:t xml:space="preserve"> IA Nacional y el IA de cada tamaño de </w:t>
      </w:r>
      <w:r w:rsidR="005D53D9" w:rsidRPr="008A0FA3">
        <w:rPr>
          <w:rFonts w:ascii="Century Gothic" w:hAnsi="Century Gothic" w:cstheme="minorHAnsi"/>
          <w:sz w:val="19"/>
          <w:szCs w:val="19"/>
        </w:rPr>
        <w:t>empresa</w:t>
      </w:r>
      <w:r w:rsidR="008A0FA3" w:rsidRPr="008A0FA3">
        <w:rPr>
          <w:rFonts w:ascii="Century Gothic" w:hAnsi="Century Gothic" w:cstheme="minorHAnsi"/>
          <w:sz w:val="19"/>
          <w:szCs w:val="19"/>
        </w:rPr>
        <w:t>,</w:t>
      </w:r>
      <w:r w:rsidR="005D53D9" w:rsidRPr="008A0FA3">
        <w:rPr>
          <w:rFonts w:ascii="Century Gothic" w:hAnsi="Century Gothic" w:cstheme="minorHAnsi"/>
          <w:sz w:val="19"/>
          <w:szCs w:val="19"/>
        </w:rPr>
        <w:t xml:space="preserve"> por</w:t>
      </w:r>
      <w:r w:rsidR="008A0FA3" w:rsidRPr="008A0FA3">
        <w:rPr>
          <w:rFonts w:ascii="Century Gothic" w:hAnsi="Century Gothic" w:cstheme="minorHAnsi"/>
          <w:sz w:val="19"/>
          <w:szCs w:val="19"/>
        </w:rPr>
        <w:t xml:space="preserve"> cada</w:t>
      </w:r>
      <w:r w:rsidR="005D53D9" w:rsidRPr="008A0FA3">
        <w:rPr>
          <w:rFonts w:ascii="Century Gothic" w:hAnsi="Century Gothic" w:cstheme="minorHAnsi"/>
          <w:sz w:val="19"/>
          <w:szCs w:val="19"/>
        </w:rPr>
        <w:t xml:space="preserve"> actividad económica</w:t>
      </w:r>
      <w:r w:rsidR="005D53D9">
        <w:rPr>
          <w:rFonts w:ascii="Century Gothic" w:hAnsi="Century Gothic" w:cstheme="minorHAnsi"/>
          <w:sz w:val="21"/>
          <w:szCs w:val="21"/>
        </w:rPr>
        <w:t>.</w:t>
      </w:r>
    </w:p>
    <w:p w14:paraId="5BAC3673" w14:textId="77777777" w:rsidR="00646F55" w:rsidRPr="00646F55" w:rsidRDefault="00646F55" w:rsidP="00646F55">
      <w:pPr>
        <w:jc w:val="both"/>
        <w:rPr>
          <w:rFonts w:ascii="Century Gothic" w:hAnsi="Century Gothic" w:cstheme="minorHAnsi"/>
          <w:sz w:val="20"/>
        </w:rPr>
      </w:pPr>
    </w:p>
    <w:p w14:paraId="78B1D21C" w14:textId="381D10E3" w:rsidR="00646F55" w:rsidRPr="00646F55" w:rsidRDefault="00646F55" w:rsidP="00646F55">
      <w:pPr>
        <w:pStyle w:val="Descripcin"/>
        <w:keepNext/>
        <w:jc w:val="both"/>
        <w:rPr>
          <w:rFonts w:cs="Calibri"/>
          <w:i w:val="0"/>
          <w:color w:val="000000"/>
          <w:sz w:val="16"/>
          <w:szCs w:val="16"/>
        </w:rPr>
      </w:pPr>
      <w:bookmarkStart w:id="7" w:name="_Toc132722355"/>
      <w:r w:rsidRPr="00312243">
        <w:rPr>
          <w:rFonts w:cstheme="minorHAnsi"/>
          <w:b/>
          <w:i w:val="0"/>
          <w:iCs w:val="0"/>
          <w:color w:val="auto"/>
          <w:sz w:val="16"/>
          <w:szCs w:val="16"/>
        </w:rPr>
        <w:t xml:space="preserve">Figura </w:t>
      </w:r>
      <w:r w:rsidRPr="00312243">
        <w:rPr>
          <w:rFonts w:cstheme="minorHAnsi"/>
          <w:b/>
          <w:i w:val="0"/>
          <w:iCs w:val="0"/>
          <w:color w:val="auto"/>
          <w:sz w:val="16"/>
          <w:szCs w:val="16"/>
        </w:rPr>
        <w:fldChar w:fldCharType="begin"/>
      </w:r>
      <w:r w:rsidRPr="00312243">
        <w:rPr>
          <w:rFonts w:cstheme="minorHAnsi"/>
          <w:b/>
          <w:i w:val="0"/>
          <w:iCs w:val="0"/>
          <w:color w:val="auto"/>
          <w:sz w:val="16"/>
          <w:szCs w:val="16"/>
        </w:rPr>
        <w:instrText xml:space="preserve"> SEQ Figura \* ARABIC </w:instrText>
      </w:r>
      <w:r w:rsidRPr="00312243">
        <w:rPr>
          <w:rFonts w:cstheme="minorHAnsi"/>
          <w:b/>
          <w:i w:val="0"/>
          <w:iCs w:val="0"/>
          <w:color w:val="auto"/>
          <w:sz w:val="16"/>
          <w:szCs w:val="16"/>
        </w:rPr>
        <w:fldChar w:fldCharType="separate"/>
      </w:r>
      <w:r w:rsidRPr="00312243">
        <w:rPr>
          <w:rFonts w:cstheme="minorHAnsi"/>
          <w:b/>
          <w:i w:val="0"/>
          <w:iCs w:val="0"/>
          <w:noProof/>
          <w:color w:val="auto"/>
          <w:sz w:val="16"/>
          <w:szCs w:val="16"/>
        </w:rPr>
        <w:t>2</w:t>
      </w:r>
      <w:r w:rsidRPr="00312243">
        <w:rPr>
          <w:rFonts w:cstheme="minorHAnsi"/>
          <w:b/>
          <w:i w:val="0"/>
          <w:iCs w:val="0"/>
          <w:color w:val="auto"/>
          <w:sz w:val="16"/>
          <w:szCs w:val="16"/>
        </w:rPr>
        <w:fldChar w:fldCharType="end"/>
      </w:r>
      <w:r w:rsidRPr="00312243">
        <w:rPr>
          <w:rFonts w:cstheme="minorHAnsi"/>
          <w:b/>
          <w:i w:val="0"/>
          <w:iCs w:val="0"/>
          <w:color w:val="auto"/>
          <w:sz w:val="16"/>
          <w:szCs w:val="16"/>
        </w:rPr>
        <w:t>.</w:t>
      </w:r>
      <w:r w:rsidRPr="00312243">
        <w:t xml:space="preserve"> </w:t>
      </w:r>
      <w:r w:rsidR="005D53D9">
        <w:rPr>
          <w:rFonts w:cs="Calibri"/>
          <w:i w:val="0"/>
          <w:color w:val="000000"/>
          <w:sz w:val="16"/>
          <w:szCs w:val="16"/>
        </w:rPr>
        <w:t>IA Nacional y por tamaño de empresa</w:t>
      </w:r>
      <w:r w:rsidRPr="00312243">
        <w:rPr>
          <w:rFonts w:cs="Calibri"/>
          <w:i w:val="0"/>
          <w:color w:val="000000"/>
          <w:sz w:val="16"/>
          <w:szCs w:val="16"/>
        </w:rPr>
        <w:t xml:space="preserve">, </w:t>
      </w:r>
      <w:r w:rsidR="008958B2">
        <w:rPr>
          <w:rFonts w:cs="Calibri"/>
          <w:i w:val="0"/>
          <w:color w:val="000000"/>
          <w:sz w:val="16"/>
          <w:szCs w:val="16"/>
        </w:rPr>
        <w:t>según</w:t>
      </w:r>
      <w:r w:rsidRPr="00312243">
        <w:rPr>
          <w:rFonts w:cs="Calibri"/>
          <w:i w:val="0"/>
          <w:color w:val="000000"/>
          <w:sz w:val="16"/>
          <w:szCs w:val="16"/>
        </w:rPr>
        <w:t xml:space="preserve"> actividad económica (</w:t>
      </w:r>
      <w:r w:rsidR="005D53D9">
        <w:rPr>
          <w:rFonts w:cs="Calibri"/>
          <w:i w:val="0"/>
          <w:color w:val="000000"/>
          <w:sz w:val="16"/>
          <w:szCs w:val="16"/>
        </w:rPr>
        <w:t>Escala de 1 a 100</w:t>
      </w:r>
      <w:r w:rsidRPr="00312243">
        <w:rPr>
          <w:rFonts w:cs="Calibri"/>
          <w:i w:val="0"/>
          <w:color w:val="000000"/>
          <w:sz w:val="16"/>
          <w:szCs w:val="16"/>
        </w:rPr>
        <w:t>).</w:t>
      </w:r>
      <w:bookmarkEnd w:id="7"/>
    </w:p>
    <w:p w14:paraId="58D6716F" w14:textId="6CCD376E" w:rsidR="00646F55" w:rsidRPr="00646F55" w:rsidRDefault="005D53D9" w:rsidP="00646F55">
      <w:pPr>
        <w:rPr>
          <w:rFonts w:ascii="Century Gothic" w:hAnsi="Century Gothic"/>
        </w:rPr>
      </w:pPr>
      <w:r>
        <w:rPr>
          <w:noProof/>
        </w:rPr>
        <w:drawing>
          <wp:inline distT="0" distB="0" distL="0" distR="0" wp14:anchorId="17D46DBA" wp14:editId="6087E214">
            <wp:extent cx="2473325" cy="3528204"/>
            <wp:effectExtent l="0" t="0" r="3175" b="15240"/>
            <wp:docPr id="3" name="Gráfico 3">
              <a:extLst xmlns:a="http://schemas.openxmlformats.org/drawingml/2006/main">
                <a:ext uri="{FF2B5EF4-FFF2-40B4-BE49-F238E27FC236}">
                  <a16:creationId xmlns:a16="http://schemas.microsoft.com/office/drawing/2014/main" id="{CE992425-A363-471F-8BF6-5B46B95C31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5CA9381" w14:textId="77777777" w:rsidR="00646F55" w:rsidRPr="00646F55" w:rsidRDefault="00646F55" w:rsidP="00646F55">
      <w:pPr>
        <w:jc w:val="both"/>
        <w:rPr>
          <w:rFonts w:ascii="Century Gothic" w:hAnsi="Century Gothic" w:cs="Calibri"/>
          <w:b/>
          <w:color w:val="000000"/>
          <w:sz w:val="14"/>
          <w:szCs w:val="16"/>
        </w:rPr>
      </w:pPr>
    </w:p>
    <w:p w14:paraId="37899015" w14:textId="6D0C038F" w:rsidR="00646F55" w:rsidRPr="00646F55" w:rsidRDefault="00646F55" w:rsidP="00646F55">
      <w:pPr>
        <w:jc w:val="both"/>
        <w:rPr>
          <w:rFonts w:ascii="Century Gothic" w:hAnsi="Century Gothic" w:cs="Calibri"/>
          <w:color w:val="000000"/>
          <w:sz w:val="16"/>
          <w:szCs w:val="16"/>
        </w:rPr>
      </w:pPr>
      <w:r w:rsidRPr="00646F55">
        <w:rPr>
          <w:rFonts w:ascii="Century Gothic" w:hAnsi="Century Gothic" w:cs="Calibri"/>
          <w:b/>
          <w:color w:val="000000"/>
          <w:sz w:val="14"/>
          <w:szCs w:val="16"/>
        </w:rPr>
        <w:t>Fuente</w:t>
      </w:r>
      <w:r w:rsidRPr="00646F55">
        <w:rPr>
          <w:rFonts w:ascii="Century Gothic" w:hAnsi="Century Gothic" w:cs="Calibri"/>
          <w:b/>
          <w:color w:val="000000"/>
          <w:sz w:val="16"/>
          <w:szCs w:val="16"/>
        </w:rPr>
        <w:t>:</w:t>
      </w:r>
      <w:r w:rsidRPr="00646F55">
        <w:rPr>
          <w:rFonts w:ascii="Century Gothic" w:hAnsi="Century Gothic" w:cs="Calibri"/>
          <w:color w:val="000000"/>
          <w:sz w:val="16"/>
          <w:szCs w:val="16"/>
        </w:rPr>
        <w:t xml:space="preserve"> </w:t>
      </w:r>
      <w:r w:rsidRPr="00646F55">
        <w:rPr>
          <w:rFonts w:ascii="Century Gothic" w:hAnsi="Century Gothic" w:cs="Calibri"/>
          <w:color w:val="404040" w:themeColor="text1" w:themeTint="BF"/>
          <w:sz w:val="14"/>
          <w:szCs w:val="14"/>
        </w:rPr>
        <w:t>Módulo Ambiental</w:t>
      </w:r>
      <w:r w:rsidR="00EE29C2">
        <w:rPr>
          <w:rFonts w:ascii="Century Gothic" w:hAnsi="Century Gothic" w:cs="Calibri"/>
          <w:color w:val="404040" w:themeColor="text1" w:themeTint="BF"/>
          <w:sz w:val="14"/>
          <w:szCs w:val="14"/>
        </w:rPr>
        <w:t xml:space="preserve"> Económica</w:t>
      </w:r>
      <w:r w:rsidRPr="00646F55">
        <w:rPr>
          <w:rFonts w:ascii="Century Gothic" w:hAnsi="Century Gothic" w:cs="Calibri"/>
          <w:color w:val="404040" w:themeColor="text1" w:themeTint="BF"/>
          <w:sz w:val="14"/>
          <w:szCs w:val="14"/>
        </w:rPr>
        <w:t xml:space="preserve"> ENESEM </w:t>
      </w:r>
      <w:r w:rsidR="003540AD">
        <w:rPr>
          <w:rFonts w:ascii="Century Gothic" w:hAnsi="Century Gothic" w:cs="Calibri"/>
          <w:color w:val="404040" w:themeColor="text1" w:themeTint="BF"/>
          <w:sz w:val="14"/>
          <w:szCs w:val="14"/>
        </w:rPr>
        <w:t>202</w:t>
      </w:r>
      <w:r w:rsidR="00F87347">
        <w:rPr>
          <w:rFonts w:ascii="Century Gothic" w:hAnsi="Century Gothic" w:cs="Calibri"/>
          <w:color w:val="404040" w:themeColor="text1" w:themeTint="BF"/>
          <w:sz w:val="14"/>
          <w:szCs w:val="14"/>
        </w:rPr>
        <w:t>1</w:t>
      </w:r>
      <w:r w:rsidRPr="00646F55">
        <w:rPr>
          <w:rFonts w:ascii="Century Gothic" w:hAnsi="Century Gothic" w:cs="Calibri"/>
          <w:color w:val="404040" w:themeColor="text1" w:themeTint="BF"/>
          <w:sz w:val="14"/>
          <w:szCs w:val="14"/>
        </w:rPr>
        <w:t>.</w:t>
      </w:r>
    </w:p>
    <w:p w14:paraId="3BC8F76C" w14:textId="77777777" w:rsidR="00CB2A4B" w:rsidRDefault="00CB2A4B" w:rsidP="00646F55">
      <w:pPr>
        <w:jc w:val="both"/>
        <w:rPr>
          <w:rFonts w:ascii="Century Gothic" w:hAnsi="Century Gothic" w:cstheme="minorHAnsi"/>
          <w:sz w:val="21"/>
          <w:szCs w:val="21"/>
        </w:rPr>
      </w:pPr>
    </w:p>
    <w:p w14:paraId="6B0BF566" w14:textId="7F0F75B7" w:rsidR="00646F55" w:rsidRDefault="00646F55" w:rsidP="00646F55">
      <w:pPr>
        <w:jc w:val="both"/>
        <w:rPr>
          <w:rFonts w:ascii="Century Gothic" w:hAnsi="Century Gothic" w:cstheme="minorHAnsi"/>
          <w:sz w:val="21"/>
          <w:szCs w:val="21"/>
        </w:rPr>
      </w:pPr>
      <w:r w:rsidRPr="001B187F">
        <w:rPr>
          <w:rFonts w:ascii="Century Gothic" w:hAnsi="Century Gothic" w:cstheme="minorHAnsi"/>
          <w:sz w:val="21"/>
          <w:szCs w:val="21"/>
        </w:rPr>
        <w:t xml:space="preserve">Como se observa en la Figura 2, </w:t>
      </w:r>
      <w:r w:rsidR="00325FD1">
        <w:rPr>
          <w:rFonts w:ascii="Century Gothic" w:hAnsi="Century Gothic" w:cstheme="minorHAnsi"/>
          <w:sz w:val="21"/>
          <w:szCs w:val="21"/>
        </w:rPr>
        <w:t xml:space="preserve">los IA de las empresas de tamaño Grande y </w:t>
      </w:r>
      <w:r w:rsidR="00325FD1">
        <w:rPr>
          <w:rFonts w:ascii="Century Gothic" w:hAnsi="Century Gothic" w:cstheme="minorHAnsi"/>
          <w:sz w:val="21"/>
          <w:szCs w:val="21"/>
        </w:rPr>
        <w:lastRenderedPageBreak/>
        <w:t xml:space="preserve">Mediana B se acercan, en alguna medida, al valor del IA Nacional. No obstante, los valores del IA para las empresas Mediana A son </w:t>
      </w:r>
      <w:r w:rsidR="00CB2A4B">
        <w:rPr>
          <w:rFonts w:ascii="Century Gothic" w:hAnsi="Century Gothic" w:cstheme="minorHAnsi"/>
          <w:sz w:val="21"/>
          <w:szCs w:val="21"/>
        </w:rPr>
        <w:t xml:space="preserve">hasta </w:t>
      </w:r>
      <w:r w:rsidR="00325FD1">
        <w:rPr>
          <w:rFonts w:ascii="Century Gothic" w:hAnsi="Century Gothic" w:cstheme="minorHAnsi"/>
          <w:sz w:val="21"/>
          <w:szCs w:val="21"/>
        </w:rPr>
        <w:t xml:space="preserve">varias veces el valor del IA Nacional. El caso de la actividad </w:t>
      </w:r>
      <w:r w:rsidR="00325FD1" w:rsidRPr="00325FD1">
        <w:rPr>
          <w:rFonts w:ascii="Century Gothic" w:hAnsi="Century Gothic" w:cstheme="minorHAnsi"/>
          <w:i/>
          <w:iCs/>
          <w:sz w:val="21"/>
          <w:szCs w:val="21"/>
        </w:rPr>
        <w:t>H. Transporte y Almacenamiento</w:t>
      </w:r>
      <w:r w:rsidR="00325FD1">
        <w:rPr>
          <w:rFonts w:ascii="Century Gothic" w:hAnsi="Century Gothic" w:cstheme="minorHAnsi"/>
          <w:sz w:val="21"/>
          <w:szCs w:val="21"/>
        </w:rPr>
        <w:t xml:space="preserve"> es un ejemplo </w:t>
      </w:r>
      <w:r w:rsidR="000600E2">
        <w:rPr>
          <w:rFonts w:ascii="Century Gothic" w:hAnsi="Century Gothic" w:cstheme="minorHAnsi"/>
          <w:sz w:val="21"/>
          <w:szCs w:val="21"/>
        </w:rPr>
        <w:t>de lo dicho</w:t>
      </w:r>
      <w:r w:rsidR="00325FD1">
        <w:rPr>
          <w:rFonts w:ascii="Century Gothic" w:hAnsi="Century Gothic" w:cstheme="minorHAnsi"/>
          <w:sz w:val="21"/>
          <w:szCs w:val="21"/>
        </w:rPr>
        <w:t xml:space="preserve">: su IA Nacional es 53, pero su IA para empresas Mediana A es de 98, casi dos veces </w:t>
      </w:r>
      <w:r w:rsidR="001D1439">
        <w:rPr>
          <w:rFonts w:ascii="Century Gothic" w:hAnsi="Century Gothic" w:cstheme="minorHAnsi"/>
          <w:sz w:val="21"/>
          <w:szCs w:val="21"/>
        </w:rPr>
        <w:t>su</w:t>
      </w:r>
      <w:r w:rsidR="00325FD1">
        <w:rPr>
          <w:rFonts w:ascii="Century Gothic" w:hAnsi="Century Gothic" w:cstheme="minorHAnsi"/>
          <w:sz w:val="21"/>
          <w:szCs w:val="21"/>
        </w:rPr>
        <w:t xml:space="preserve"> valor nacional.</w:t>
      </w:r>
    </w:p>
    <w:p w14:paraId="4B5DCCAD" w14:textId="6881F484" w:rsidR="00BB17A6" w:rsidRDefault="00BB17A6" w:rsidP="00646F55">
      <w:pPr>
        <w:jc w:val="both"/>
        <w:rPr>
          <w:rFonts w:ascii="Century Gothic" w:hAnsi="Century Gothic" w:cstheme="minorHAnsi"/>
          <w:sz w:val="21"/>
          <w:szCs w:val="21"/>
        </w:rPr>
      </w:pPr>
    </w:p>
    <w:p w14:paraId="5C8E6CD4" w14:textId="21AAE79E" w:rsidR="00BB17A6" w:rsidRDefault="00BB17A6" w:rsidP="00646F55">
      <w:pPr>
        <w:jc w:val="both"/>
        <w:rPr>
          <w:rFonts w:ascii="Century Gothic" w:hAnsi="Century Gothic" w:cstheme="minorHAnsi"/>
          <w:sz w:val="21"/>
          <w:szCs w:val="21"/>
        </w:rPr>
      </w:pPr>
      <w:r>
        <w:rPr>
          <w:rFonts w:ascii="Century Gothic" w:hAnsi="Century Gothic" w:cstheme="minorHAnsi"/>
          <w:sz w:val="21"/>
          <w:szCs w:val="21"/>
        </w:rPr>
        <w:t xml:space="preserve">Este es un patrón constante y prácticamente </w:t>
      </w:r>
      <w:r w:rsidR="0027514C">
        <w:rPr>
          <w:rFonts w:ascii="Century Gothic" w:hAnsi="Century Gothic" w:cstheme="minorHAnsi"/>
          <w:sz w:val="21"/>
          <w:szCs w:val="21"/>
        </w:rPr>
        <w:t>g</w:t>
      </w:r>
      <w:r>
        <w:rPr>
          <w:rFonts w:ascii="Century Gothic" w:hAnsi="Century Gothic" w:cstheme="minorHAnsi"/>
          <w:sz w:val="21"/>
          <w:szCs w:val="21"/>
        </w:rPr>
        <w:t>e</w:t>
      </w:r>
      <w:r w:rsidR="0027514C">
        <w:rPr>
          <w:rFonts w:ascii="Century Gothic" w:hAnsi="Century Gothic" w:cstheme="minorHAnsi"/>
          <w:sz w:val="21"/>
          <w:szCs w:val="21"/>
        </w:rPr>
        <w:t>nera</w:t>
      </w:r>
      <w:r w:rsidR="004A7F5E">
        <w:rPr>
          <w:rFonts w:ascii="Century Gothic" w:hAnsi="Century Gothic" w:cstheme="minorHAnsi"/>
          <w:sz w:val="21"/>
          <w:szCs w:val="21"/>
        </w:rPr>
        <w:t>l</w:t>
      </w:r>
      <w:r>
        <w:rPr>
          <w:rFonts w:ascii="Century Gothic" w:hAnsi="Century Gothic" w:cstheme="minorHAnsi"/>
          <w:sz w:val="21"/>
          <w:szCs w:val="21"/>
        </w:rPr>
        <w:t xml:space="preserve">. Las únicas excepciones a esta regularidad de la dominancia de los valores de la IA para empresas Medianas A sobre el resto de tamaños se dan en las actividades </w:t>
      </w:r>
      <w:r w:rsidRPr="00BB17A6">
        <w:rPr>
          <w:rFonts w:ascii="Century Gothic" w:hAnsi="Century Gothic" w:cstheme="minorHAnsi"/>
          <w:i/>
          <w:iCs/>
          <w:sz w:val="21"/>
          <w:szCs w:val="21"/>
        </w:rPr>
        <w:t>Q. Actividades de atención de la salud humana</w:t>
      </w:r>
      <w:r>
        <w:rPr>
          <w:rFonts w:ascii="Century Gothic" w:hAnsi="Century Gothic" w:cstheme="minorHAnsi"/>
          <w:sz w:val="21"/>
          <w:szCs w:val="21"/>
        </w:rPr>
        <w:t xml:space="preserve"> y </w:t>
      </w:r>
      <w:r w:rsidRPr="00BB17A6">
        <w:rPr>
          <w:rFonts w:ascii="Century Gothic" w:hAnsi="Century Gothic" w:cstheme="minorHAnsi"/>
          <w:i/>
          <w:iCs/>
          <w:sz w:val="21"/>
          <w:szCs w:val="21"/>
        </w:rPr>
        <w:t>M. Actividades profesionales, científicas y técnicas</w:t>
      </w:r>
      <w:r>
        <w:rPr>
          <w:rFonts w:ascii="Century Gothic" w:hAnsi="Century Gothic" w:cstheme="minorHAnsi"/>
          <w:sz w:val="21"/>
          <w:szCs w:val="21"/>
        </w:rPr>
        <w:t>, en las cuales los valores de la IA para sus empresas de tamaño Mediana A son tan grandes o mayores que los valores de los otros tamaños y que el valor nacional.</w:t>
      </w:r>
    </w:p>
    <w:p w14:paraId="4DAD1176" w14:textId="233942D3" w:rsidR="00682304" w:rsidRDefault="00682304" w:rsidP="00646F55">
      <w:pPr>
        <w:jc w:val="both"/>
        <w:rPr>
          <w:rFonts w:ascii="Century Gothic" w:hAnsi="Century Gothic" w:cstheme="minorHAnsi"/>
          <w:sz w:val="21"/>
          <w:szCs w:val="21"/>
        </w:rPr>
      </w:pPr>
    </w:p>
    <w:p w14:paraId="7FE342C1" w14:textId="7ADCFC75" w:rsidR="001A088E" w:rsidRDefault="00682304" w:rsidP="00646F55">
      <w:pPr>
        <w:jc w:val="both"/>
        <w:rPr>
          <w:rFonts w:ascii="Century Gothic" w:hAnsi="Century Gothic" w:cstheme="minorHAnsi"/>
          <w:sz w:val="21"/>
          <w:szCs w:val="21"/>
        </w:rPr>
      </w:pPr>
      <w:r>
        <w:rPr>
          <w:rFonts w:ascii="Century Gothic" w:hAnsi="Century Gothic" w:cstheme="minorHAnsi"/>
          <w:sz w:val="21"/>
          <w:szCs w:val="21"/>
        </w:rPr>
        <w:t xml:space="preserve">Retomando el caso de la actividad </w:t>
      </w:r>
      <w:r w:rsidRPr="00682304">
        <w:rPr>
          <w:rFonts w:ascii="Century Gothic" w:hAnsi="Century Gothic" w:cstheme="minorHAnsi"/>
          <w:i/>
          <w:iCs/>
          <w:sz w:val="21"/>
          <w:szCs w:val="21"/>
        </w:rPr>
        <w:t>G. Comercio al por mayor y menor</w:t>
      </w:r>
      <w:r>
        <w:rPr>
          <w:rFonts w:ascii="Century Gothic" w:hAnsi="Century Gothic" w:cstheme="minorHAnsi"/>
          <w:sz w:val="21"/>
          <w:szCs w:val="21"/>
        </w:rPr>
        <w:t>, se investigó en mayor detalle cuáles podrían ser las causantes del alto valor de IA para sus empresas Mediana A</w:t>
      </w:r>
      <w:r w:rsidR="00C6451E">
        <w:rPr>
          <w:rFonts w:ascii="Century Gothic" w:hAnsi="Century Gothic" w:cstheme="minorHAnsi"/>
          <w:sz w:val="21"/>
          <w:szCs w:val="21"/>
        </w:rPr>
        <w:t xml:space="preserve"> con respecto a la IA de las empresas Mediana B</w:t>
      </w:r>
      <w:r>
        <w:rPr>
          <w:rFonts w:ascii="Century Gothic" w:hAnsi="Century Gothic" w:cstheme="minorHAnsi"/>
          <w:sz w:val="21"/>
          <w:szCs w:val="21"/>
        </w:rPr>
        <w:t>.</w:t>
      </w:r>
      <w:r w:rsidR="00E706FD">
        <w:rPr>
          <w:rFonts w:ascii="Century Gothic" w:hAnsi="Century Gothic" w:cstheme="minorHAnsi"/>
          <w:sz w:val="21"/>
          <w:szCs w:val="21"/>
        </w:rPr>
        <w:t xml:space="preserve"> </w:t>
      </w:r>
      <w:r w:rsidR="00C6451E">
        <w:rPr>
          <w:rFonts w:ascii="Century Gothic" w:hAnsi="Century Gothic" w:cstheme="minorHAnsi"/>
          <w:sz w:val="21"/>
          <w:szCs w:val="21"/>
        </w:rPr>
        <w:t>Utiliz</w:t>
      </w:r>
      <w:r w:rsidR="00E706FD">
        <w:rPr>
          <w:rFonts w:ascii="Century Gothic" w:hAnsi="Century Gothic" w:cstheme="minorHAnsi"/>
          <w:sz w:val="21"/>
          <w:szCs w:val="21"/>
        </w:rPr>
        <w:t xml:space="preserve">ando la estructura del IA agregado se determinó que la cantidad de desechos de neumáticos generados por las empresas Mediana A con respecto a la cantidad generada por las empresas Mediana B de actividad económica </w:t>
      </w:r>
      <w:r w:rsidR="00C6451E">
        <w:rPr>
          <w:rFonts w:ascii="Century Gothic" w:hAnsi="Century Gothic" w:cstheme="minorHAnsi"/>
          <w:sz w:val="21"/>
          <w:szCs w:val="21"/>
        </w:rPr>
        <w:t xml:space="preserve">Comercio </w:t>
      </w:r>
      <w:r w:rsidR="00E706FD">
        <w:rPr>
          <w:rFonts w:ascii="Century Gothic" w:hAnsi="Century Gothic" w:cstheme="minorHAnsi"/>
          <w:sz w:val="21"/>
          <w:szCs w:val="21"/>
        </w:rPr>
        <w:t>era 35 veces mayor. También, la cantidad de desechos de equipos eléctricos y electrónicos en desuso era 4 veces mayor. Además, el personal total era 10 veces mayor</w:t>
      </w:r>
      <w:r w:rsidR="00C6451E">
        <w:rPr>
          <w:rFonts w:ascii="Century Gothic" w:hAnsi="Century Gothic" w:cstheme="minorHAnsi"/>
          <w:sz w:val="21"/>
          <w:szCs w:val="21"/>
        </w:rPr>
        <w:t>. S</w:t>
      </w:r>
      <w:r w:rsidR="00E706FD">
        <w:rPr>
          <w:rFonts w:ascii="Century Gothic" w:hAnsi="Century Gothic" w:cstheme="minorHAnsi"/>
          <w:sz w:val="21"/>
          <w:szCs w:val="21"/>
        </w:rPr>
        <w:t>u gasto ambiental, consumo de agua de red pública, energía y combustibles era casi 8 veces mayor y el consumo de agua por tanquero era casi 13 veces mayor.</w:t>
      </w:r>
    </w:p>
    <w:p w14:paraId="22FFF21B" w14:textId="77777777" w:rsidR="001A088E" w:rsidRDefault="001A088E" w:rsidP="00646F55">
      <w:pPr>
        <w:jc w:val="both"/>
        <w:rPr>
          <w:rFonts w:ascii="Century Gothic" w:hAnsi="Century Gothic" w:cstheme="minorHAnsi"/>
          <w:sz w:val="21"/>
          <w:szCs w:val="21"/>
        </w:rPr>
      </w:pPr>
    </w:p>
    <w:p w14:paraId="66C56D18" w14:textId="640838DA" w:rsidR="00682304" w:rsidRDefault="001A088E" w:rsidP="00646F55">
      <w:pPr>
        <w:jc w:val="both"/>
        <w:rPr>
          <w:rFonts w:ascii="Century Gothic" w:hAnsi="Century Gothic" w:cstheme="minorHAnsi"/>
          <w:sz w:val="21"/>
          <w:szCs w:val="21"/>
        </w:rPr>
      </w:pPr>
      <w:r>
        <w:rPr>
          <w:rFonts w:ascii="Century Gothic" w:hAnsi="Century Gothic" w:cstheme="minorHAnsi"/>
          <w:sz w:val="21"/>
          <w:szCs w:val="21"/>
        </w:rPr>
        <w:t>Considerando que la relación del VAB medio</w:t>
      </w:r>
      <w:r w:rsidR="00F35EA4">
        <w:rPr>
          <w:rFonts w:ascii="Century Gothic" w:hAnsi="Century Gothic" w:cstheme="minorHAnsi"/>
          <w:sz w:val="21"/>
          <w:szCs w:val="21"/>
        </w:rPr>
        <w:t xml:space="preserve"> por empresa</w:t>
      </w:r>
      <w:r>
        <w:rPr>
          <w:rFonts w:ascii="Century Gothic" w:hAnsi="Century Gothic" w:cstheme="minorHAnsi"/>
          <w:sz w:val="21"/>
          <w:szCs w:val="21"/>
        </w:rPr>
        <w:t xml:space="preserve"> de las Medianas </w:t>
      </w:r>
      <w:r w:rsidR="00350C65">
        <w:rPr>
          <w:rFonts w:ascii="Century Gothic" w:hAnsi="Century Gothic" w:cstheme="minorHAnsi"/>
          <w:sz w:val="21"/>
          <w:szCs w:val="21"/>
        </w:rPr>
        <w:t>B</w:t>
      </w:r>
      <w:r>
        <w:rPr>
          <w:rFonts w:ascii="Century Gothic" w:hAnsi="Century Gothic" w:cstheme="minorHAnsi"/>
          <w:sz w:val="21"/>
          <w:szCs w:val="21"/>
        </w:rPr>
        <w:t xml:space="preserve"> con respecto a las Medianas </w:t>
      </w:r>
      <w:r w:rsidR="00350C65">
        <w:rPr>
          <w:rFonts w:ascii="Century Gothic" w:hAnsi="Century Gothic" w:cstheme="minorHAnsi"/>
          <w:sz w:val="21"/>
          <w:szCs w:val="21"/>
        </w:rPr>
        <w:t>A</w:t>
      </w:r>
      <w:r>
        <w:rPr>
          <w:rFonts w:ascii="Century Gothic" w:hAnsi="Century Gothic" w:cstheme="minorHAnsi"/>
          <w:sz w:val="21"/>
          <w:szCs w:val="21"/>
        </w:rPr>
        <w:t xml:space="preserve"> del sector Comercio es de </w:t>
      </w:r>
      <w:r w:rsidR="00350C65">
        <w:rPr>
          <w:rFonts w:ascii="Century Gothic" w:hAnsi="Century Gothic" w:cstheme="minorHAnsi"/>
          <w:sz w:val="21"/>
          <w:szCs w:val="21"/>
        </w:rPr>
        <w:t>1</w:t>
      </w:r>
      <w:r>
        <w:rPr>
          <w:rFonts w:ascii="Century Gothic" w:hAnsi="Century Gothic" w:cstheme="minorHAnsi"/>
          <w:sz w:val="21"/>
          <w:szCs w:val="21"/>
        </w:rPr>
        <w:t>.2</w:t>
      </w:r>
      <w:r w:rsidR="00350C65">
        <w:rPr>
          <w:rFonts w:ascii="Century Gothic" w:hAnsi="Century Gothic" w:cstheme="minorHAnsi"/>
          <w:sz w:val="21"/>
          <w:szCs w:val="21"/>
        </w:rPr>
        <w:t>2</w:t>
      </w:r>
      <w:r>
        <w:rPr>
          <w:rFonts w:ascii="Century Gothic" w:hAnsi="Century Gothic" w:cstheme="minorHAnsi"/>
          <w:sz w:val="21"/>
          <w:szCs w:val="21"/>
        </w:rPr>
        <w:t xml:space="preserve"> veces, se </w:t>
      </w:r>
      <w:r>
        <w:rPr>
          <w:rFonts w:ascii="Century Gothic" w:hAnsi="Century Gothic" w:cstheme="minorHAnsi"/>
          <w:sz w:val="21"/>
          <w:szCs w:val="21"/>
        </w:rPr>
        <w:t>puede colegir que la eficiencia ambiental de las empresas Mediana A con respecto a las Medianas B</w:t>
      </w:r>
      <w:r w:rsidR="00F35EA4">
        <w:rPr>
          <w:rFonts w:ascii="Century Gothic" w:hAnsi="Century Gothic" w:cstheme="minorHAnsi"/>
          <w:sz w:val="21"/>
          <w:szCs w:val="21"/>
        </w:rPr>
        <w:t xml:space="preserve"> de Comercio es varias veces menor que la eficiencia económica. En definitiva, el grupo de empresas Mediana A exhibe un desempeño ambiental comparativamente inferior que el grupo de empresas Mediana B de la misma actividad económica.</w:t>
      </w:r>
    </w:p>
    <w:p w14:paraId="2698DF50" w14:textId="51BBC2D3" w:rsidR="00BB17A6" w:rsidRDefault="00BB17A6" w:rsidP="00646F55">
      <w:pPr>
        <w:jc w:val="both"/>
        <w:rPr>
          <w:rFonts w:ascii="Century Gothic" w:hAnsi="Century Gothic" w:cstheme="minorHAnsi"/>
          <w:sz w:val="21"/>
          <w:szCs w:val="21"/>
        </w:rPr>
      </w:pPr>
    </w:p>
    <w:p w14:paraId="2B2DEC6C" w14:textId="49E83DC8" w:rsidR="00BB17A6" w:rsidRPr="001B187F" w:rsidRDefault="00BB17A6" w:rsidP="00646F55">
      <w:pPr>
        <w:jc w:val="both"/>
        <w:rPr>
          <w:rFonts w:ascii="Century Gothic" w:hAnsi="Century Gothic" w:cstheme="minorHAnsi"/>
          <w:sz w:val="21"/>
          <w:szCs w:val="21"/>
        </w:rPr>
      </w:pPr>
      <w:r>
        <w:rPr>
          <w:rFonts w:ascii="Century Gothic" w:hAnsi="Century Gothic" w:cstheme="minorHAnsi"/>
          <w:sz w:val="21"/>
          <w:szCs w:val="21"/>
        </w:rPr>
        <w:t xml:space="preserve">Este fenómeno puede ser un indicio de que las empresas Mediana A de los sectores recién mencionados no tienen demasiado control ambiental, ni interno </w:t>
      </w:r>
      <w:r w:rsidR="008B5DDC">
        <w:rPr>
          <w:rFonts w:ascii="Century Gothic" w:hAnsi="Century Gothic" w:cstheme="minorHAnsi"/>
          <w:sz w:val="21"/>
          <w:szCs w:val="21"/>
        </w:rPr>
        <w:t xml:space="preserve">-de su gestión ambiental- </w:t>
      </w:r>
      <w:r>
        <w:rPr>
          <w:rFonts w:ascii="Century Gothic" w:hAnsi="Century Gothic" w:cstheme="minorHAnsi"/>
          <w:sz w:val="21"/>
          <w:szCs w:val="21"/>
        </w:rPr>
        <w:t>ni externo -de la autoridad ambiental-</w:t>
      </w:r>
      <w:r w:rsidR="008B5DDC">
        <w:rPr>
          <w:rFonts w:ascii="Century Gothic" w:hAnsi="Century Gothic" w:cstheme="minorHAnsi"/>
          <w:sz w:val="21"/>
          <w:szCs w:val="21"/>
        </w:rPr>
        <w:t xml:space="preserve">. Si esta hipótesis fuese cierta, implicaría </w:t>
      </w:r>
      <w:r w:rsidR="007632DE">
        <w:rPr>
          <w:rFonts w:ascii="Century Gothic" w:hAnsi="Century Gothic" w:cstheme="minorHAnsi"/>
          <w:sz w:val="21"/>
          <w:szCs w:val="21"/>
        </w:rPr>
        <w:t xml:space="preserve">necesariamente </w:t>
      </w:r>
      <w:r w:rsidR="008B5DDC">
        <w:rPr>
          <w:rFonts w:ascii="Century Gothic" w:hAnsi="Century Gothic" w:cstheme="minorHAnsi"/>
          <w:sz w:val="21"/>
          <w:szCs w:val="21"/>
        </w:rPr>
        <w:t>que se debe poner controles ambientales específicos a estas empresas, así como a todas las empresas Mediana A que resultan ser las que, en conjunto y por actividad económica, generan el mayor impacto negativo sobre el ambiente.</w:t>
      </w:r>
    </w:p>
    <w:p w14:paraId="5E7F2B25" w14:textId="77777777" w:rsidR="00646F55" w:rsidRPr="000D670F" w:rsidRDefault="00646F55" w:rsidP="00646F55">
      <w:pPr>
        <w:pStyle w:val="Ttulo1"/>
        <w:rPr>
          <w:rFonts w:ascii="Century Gothic" w:eastAsiaTheme="minorHAnsi" w:hAnsi="Century Gothic" w:cstheme="minorBidi"/>
          <w:color w:val="646482"/>
          <w:lang w:val="es-EC" w:eastAsia="en-US" w:bidi="ar-SA"/>
        </w:rPr>
      </w:pPr>
      <w:bookmarkStart w:id="8" w:name="_Toc132722341"/>
      <w:r w:rsidRPr="000D670F">
        <w:rPr>
          <w:rFonts w:ascii="Century Gothic" w:eastAsiaTheme="minorHAnsi" w:hAnsi="Century Gothic" w:cstheme="minorBidi"/>
          <w:color w:val="646482"/>
          <w:lang w:val="es-EC" w:eastAsia="en-US" w:bidi="ar-SA"/>
        </w:rPr>
        <w:t>Análisis descriptivo</w:t>
      </w:r>
      <w:bookmarkEnd w:id="8"/>
    </w:p>
    <w:p w14:paraId="4FA70F85" w14:textId="77777777" w:rsidR="00646F55" w:rsidRPr="00646F55" w:rsidRDefault="00646F55" w:rsidP="00646F55">
      <w:pPr>
        <w:pStyle w:val="Ttulo2"/>
        <w:numPr>
          <w:ilvl w:val="0"/>
          <w:numId w:val="12"/>
        </w:numPr>
        <w:rPr>
          <w:rFonts w:ascii="Century Gothic" w:hAnsi="Century Gothic"/>
          <w:color w:val="767171" w:themeColor="background2" w:themeShade="80"/>
          <w:sz w:val="24"/>
        </w:rPr>
      </w:pPr>
      <w:bookmarkStart w:id="9" w:name="_Toc132722342"/>
      <w:r w:rsidRPr="00646F55">
        <w:rPr>
          <w:rFonts w:ascii="Century Gothic" w:hAnsi="Century Gothic"/>
          <w:color w:val="767171" w:themeColor="background2" w:themeShade="80"/>
          <w:sz w:val="24"/>
        </w:rPr>
        <w:t>Diagnóstico ambiental</w:t>
      </w:r>
      <w:bookmarkEnd w:id="9"/>
    </w:p>
    <w:p w14:paraId="570B3C6E" w14:textId="77777777" w:rsidR="00646F55" w:rsidRPr="00D35631" w:rsidRDefault="00646F55" w:rsidP="00646F55">
      <w:pPr>
        <w:jc w:val="both"/>
        <w:rPr>
          <w:rFonts w:ascii="Century Gothic" w:hAnsi="Century Gothic" w:cstheme="minorHAnsi"/>
          <w:sz w:val="21"/>
          <w:szCs w:val="21"/>
          <w:lang w:val="es-ES_tradnl"/>
        </w:rPr>
      </w:pPr>
    </w:p>
    <w:p w14:paraId="1C8DAFDA" w14:textId="5EFEE8C9" w:rsidR="00646F55" w:rsidRPr="0087641F" w:rsidRDefault="00646F55" w:rsidP="00646F55">
      <w:pPr>
        <w:jc w:val="both"/>
        <w:rPr>
          <w:rFonts w:ascii="Century Gothic" w:hAnsi="Century Gothic" w:cs="Times New Roman"/>
          <w:sz w:val="21"/>
          <w:szCs w:val="21"/>
          <w:lang w:eastAsia="es-ES_tradnl"/>
        </w:rPr>
      </w:pPr>
      <w:r w:rsidRPr="00D35631">
        <w:rPr>
          <w:rFonts w:ascii="Century Gothic" w:hAnsi="Century Gothic" w:cstheme="minorHAnsi"/>
          <w:sz w:val="21"/>
          <w:szCs w:val="21"/>
        </w:rPr>
        <w:t xml:space="preserve">En </w:t>
      </w:r>
      <w:r w:rsidR="0033680E">
        <w:rPr>
          <w:rFonts w:ascii="Century Gothic" w:hAnsi="Century Gothic" w:cstheme="minorHAnsi"/>
          <w:sz w:val="21"/>
          <w:szCs w:val="21"/>
        </w:rPr>
        <w:t>este aspecto</w:t>
      </w:r>
      <w:r w:rsidRPr="00D35631">
        <w:rPr>
          <w:rFonts w:ascii="Century Gothic" w:hAnsi="Century Gothic" w:cstheme="minorHAnsi"/>
          <w:sz w:val="21"/>
          <w:szCs w:val="21"/>
        </w:rPr>
        <w:t xml:space="preserve"> se investig</w:t>
      </w:r>
      <w:r w:rsidR="003869D3">
        <w:rPr>
          <w:rFonts w:ascii="Century Gothic" w:hAnsi="Century Gothic" w:cstheme="minorHAnsi"/>
          <w:sz w:val="21"/>
          <w:szCs w:val="21"/>
        </w:rPr>
        <w:t>ó</w:t>
      </w:r>
      <w:r w:rsidRPr="00D35631">
        <w:rPr>
          <w:rFonts w:ascii="Century Gothic" w:hAnsi="Century Gothic" w:cstheme="minorHAnsi"/>
          <w:sz w:val="21"/>
          <w:szCs w:val="21"/>
        </w:rPr>
        <w:t xml:space="preserve"> </w:t>
      </w:r>
      <w:r w:rsidR="003869D3">
        <w:rPr>
          <w:rFonts w:ascii="Century Gothic" w:hAnsi="Century Gothic" w:cstheme="minorHAnsi"/>
          <w:sz w:val="21"/>
          <w:szCs w:val="21"/>
        </w:rPr>
        <w:t xml:space="preserve">el </w:t>
      </w:r>
      <w:r w:rsidRPr="00D35631">
        <w:rPr>
          <w:rFonts w:ascii="Century Gothic" w:hAnsi="Century Gothic" w:cstheme="minorHAnsi"/>
          <w:sz w:val="21"/>
          <w:szCs w:val="21"/>
        </w:rPr>
        <w:t>componente</w:t>
      </w:r>
      <w:r w:rsidR="003869D3">
        <w:rPr>
          <w:rFonts w:ascii="Century Gothic" w:hAnsi="Century Gothic" w:cstheme="minorHAnsi"/>
          <w:sz w:val="21"/>
          <w:szCs w:val="21"/>
        </w:rPr>
        <w:t xml:space="preserve"> del personal </w:t>
      </w:r>
      <w:r w:rsidR="0033680E">
        <w:rPr>
          <w:rFonts w:ascii="Century Gothic" w:hAnsi="Century Gothic" w:cstheme="minorHAnsi"/>
          <w:sz w:val="21"/>
          <w:szCs w:val="21"/>
        </w:rPr>
        <w:t>am</w:t>
      </w:r>
      <w:r w:rsidR="003869D3">
        <w:rPr>
          <w:rFonts w:ascii="Century Gothic" w:hAnsi="Century Gothic" w:cstheme="minorHAnsi"/>
          <w:sz w:val="21"/>
          <w:szCs w:val="21"/>
        </w:rPr>
        <w:t xml:space="preserve">biental de las empresas. </w:t>
      </w:r>
      <w:r w:rsidR="0033680E">
        <w:rPr>
          <w:rFonts w:ascii="Century Gothic" w:hAnsi="Century Gothic" w:cstheme="minorHAnsi"/>
          <w:sz w:val="21"/>
          <w:szCs w:val="21"/>
        </w:rPr>
        <w:t>Los resultados muestran que las</w:t>
      </w:r>
      <w:r w:rsidRPr="0087641F">
        <w:rPr>
          <w:rFonts w:ascii="Century Gothic" w:hAnsi="Century Gothic" w:cs="Times New Roman"/>
          <w:sz w:val="21"/>
          <w:szCs w:val="21"/>
          <w:lang w:eastAsia="es-ES_tradnl"/>
        </w:rPr>
        <w:t xml:space="preserve"> empresas mantienen una planta de </w:t>
      </w:r>
      <w:r w:rsidR="0033680E">
        <w:rPr>
          <w:rFonts w:ascii="Century Gothic" w:hAnsi="Century Gothic" w:cs="Times New Roman"/>
          <w:sz w:val="21"/>
          <w:szCs w:val="21"/>
          <w:lang w:eastAsia="es-ES_tradnl"/>
        </w:rPr>
        <w:t>8.224</w:t>
      </w:r>
      <w:r w:rsidRPr="0087641F">
        <w:rPr>
          <w:rFonts w:ascii="Century Gothic" w:hAnsi="Century Gothic" w:cs="Times New Roman"/>
          <w:sz w:val="21"/>
          <w:szCs w:val="21"/>
          <w:lang w:eastAsia="es-ES_tradnl"/>
        </w:rPr>
        <w:t xml:space="preserve"> personas (0,</w:t>
      </w:r>
      <w:r w:rsidR="0033680E">
        <w:rPr>
          <w:rFonts w:ascii="Century Gothic" w:hAnsi="Century Gothic" w:cs="Times New Roman"/>
          <w:sz w:val="21"/>
          <w:szCs w:val="21"/>
          <w:lang w:eastAsia="es-ES_tradnl"/>
        </w:rPr>
        <w:t>87</w:t>
      </w:r>
      <w:r w:rsidRPr="0087641F">
        <w:rPr>
          <w:rFonts w:ascii="Century Gothic" w:hAnsi="Century Gothic" w:cs="Times New Roman"/>
          <w:sz w:val="21"/>
          <w:szCs w:val="21"/>
          <w:lang w:eastAsia="es-ES_tradnl"/>
        </w:rPr>
        <w:t>% del personal total) a nivel nacional, las cuales se dedican a actividades ambientales</w:t>
      </w:r>
      <w:r w:rsidR="0033680E">
        <w:rPr>
          <w:rFonts w:ascii="Century Gothic" w:hAnsi="Century Gothic" w:cs="Times New Roman"/>
          <w:sz w:val="21"/>
          <w:szCs w:val="21"/>
          <w:lang w:eastAsia="es-ES_tradnl"/>
        </w:rPr>
        <w:t xml:space="preserve"> </w:t>
      </w:r>
      <w:r w:rsidRPr="0087641F">
        <w:rPr>
          <w:rFonts w:ascii="Century Gothic" w:hAnsi="Century Gothic" w:cs="Times New Roman"/>
          <w:sz w:val="21"/>
          <w:szCs w:val="21"/>
          <w:lang w:eastAsia="es-ES_tradnl"/>
        </w:rPr>
        <w:t>(</w:t>
      </w:r>
      <w:r w:rsidR="0033680E">
        <w:rPr>
          <w:rFonts w:ascii="Century Gothic" w:hAnsi="Century Gothic" w:cs="Times New Roman"/>
          <w:sz w:val="21"/>
          <w:szCs w:val="21"/>
          <w:lang w:eastAsia="es-ES_tradnl"/>
        </w:rPr>
        <w:t>+12</w:t>
      </w:r>
      <w:r w:rsidR="00A352DE">
        <w:rPr>
          <w:rFonts w:ascii="Century Gothic" w:hAnsi="Century Gothic" w:cs="Times New Roman"/>
          <w:sz w:val="21"/>
          <w:szCs w:val="21"/>
          <w:lang w:eastAsia="es-ES_tradnl"/>
        </w:rPr>
        <w:t>,</w:t>
      </w:r>
      <w:r w:rsidR="00876D03">
        <w:rPr>
          <w:rFonts w:ascii="Century Gothic" w:hAnsi="Century Gothic" w:cs="Times New Roman"/>
          <w:sz w:val="21"/>
          <w:szCs w:val="21"/>
          <w:lang w:eastAsia="es-ES_tradnl"/>
        </w:rPr>
        <w:t>63</w:t>
      </w:r>
      <w:r w:rsidRPr="0087641F">
        <w:rPr>
          <w:rFonts w:ascii="Century Gothic" w:hAnsi="Century Gothic" w:cs="Times New Roman"/>
          <w:sz w:val="21"/>
          <w:szCs w:val="21"/>
          <w:lang w:eastAsia="es-ES_tradnl"/>
        </w:rPr>
        <w:t xml:space="preserve">% con respecto al año </w:t>
      </w:r>
      <w:r w:rsidR="003540AD" w:rsidRPr="0087641F">
        <w:rPr>
          <w:rFonts w:ascii="Century Gothic" w:hAnsi="Century Gothic" w:cs="Times New Roman"/>
          <w:sz w:val="21"/>
          <w:szCs w:val="21"/>
          <w:lang w:eastAsia="es-ES_tradnl"/>
        </w:rPr>
        <w:t>20</w:t>
      </w:r>
      <w:r w:rsidR="0033680E">
        <w:rPr>
          <w:rFonts w:ascii="Century Gothic" w:hAnsi="Century Gothic" w:cs="Times New Roman"/>
          <w:sz w:val="21"/>
          <w:szCs w:val="21"/>
          <w:lang w:eastAsia="es-ES_tradnl"/>
        </w:rPr>
        <w:t>20</w:t>
      </w:r>
      <w:r w:rsidRPr="0087641F">
        <w:rPr>
          <w:rFonts w:ascii="Century Gothic" w:hAnsi="Century Gothic" w:cs="Times New Roman"/>
          <w:sz w:val="21"/>
          <w:szCs w:val="21"/>
          <w:lang w:eastAsia="es-ES_tradnl"/>
        </w:rPr>
        <w:t>) de un total de 9</w:t>
      </w:r>
      <w:r w:rsidR="007E1953" w:rsidRPr="0087641F">
        <w:rPr>
          <w:rFonts w:ascii="Century Gothic" w:hAnsi="Century Gothic" w:cs="Times New Roman"/>
          <w:sz w:val="21"/>
          <w:szCs w:val="21"/>
          <w:lang w:eastAsia="es-ES_tradnl"/>
        </w:rPr>
        <w:t>4</w:t>
      </w:r>
      <w:r w:rsidR="0033680E">
        <w:rPr>
          <w:rFonts w:ascii="Century Gothic" w:hAnsi="Century Gothic" w:cs="Times New Roman"/>
          <w:sz w:val="21"/>
          <w:szCs w:val="21"/>
          <w:lang w:eastAsia="es-ES_tradnl"/>
        </w:rPr>
        <w:t>6</w:t>
      </w:r>
      <w:r w:rsidR="00A352DE">
        <w:rPr>
          <w:rFonts w:ascii="Century Gothic" w:hAnsi="Century Gothic" w:cs="Times New Roman"/>
          <w:sz w:val="21"/>
          <w:szCs w:val="21"/>
          <w:lang w:eastAsia="es-ES_tradnl"/>
        </w:rPr>
        <w:t>.</w:t>
      </w:r>
      <w:r w:rsidR="0033680E">
        <w:rPr>
          <w:rFonts w:ascii="Century Gothic" w:hAnsi="Century Gothic" w:cs="Times New Roman"/>
          <w:sz w:val="21"/>
          <w:szCs w:val="21"/>
          <w:lang w:eastAsia="es-ES_tradnl"/>
        </w:rPr>
        <w:t>034</w:t>
      </w:r>
      <w:r w:rsidRPr="0087641F">
        <w:rPr>
          <w:rFonts w:ascii="Century Gothic" w:hAnsi="Century Gothic" w:cs="Times New Roman"/>
          <w:sz w:val="21"/>
          <w:szCs w:val="21"/>
          <w:lang w:eastAsia="es-ES_tradnl"/>
        </w:rPr>
        <w:t xml:space="preserve"> personas en nómina de las empresas en el año </w:t>
      </w:r>
      <w:r w:rsidR="003540AD" w:rsidRPr="0087641F">
        <w:rPr>
          <w:rFonts w:ascii="Century Gothic" w:hAnsi="Century Gothic" w:cs="Times New Roman"/>
          <w:sz w:val="21"/>
          <w:szCs w:val="21"/>
          <w:lang w:eastAsia="es-ES_tradnl"/>
        </w:rPr>
        <w:t>202</w:t>
      </w:r>
      <w:r w:rsidR="0033680E">
        <w:rPr>
          <w:rFonts w:ascii="Century Gothic" w:hAnsi="Century Gothic" w:cs="Times New Roman"/>
          <w:sz w:val="21"/>
          <w:szCs w:val="21"/>
          <w:lang w:eastAsia="es-ES_tradnl"/>
        </w:rPr>
        <w:t>1</w:t>
      </w:r>
      <w:r w:rsidRPr="0087641F">
        <w:rPr>
          <w:rFonts w:ascii="Century Gothic" w:hAnsi="Century Gothic" w:cs="Times New Roman"/>
          <w:sz w:val="21"/>
          <w:szCs w:val="21"/>
          <w:lang w:eastAsia="es-ES_tradnl"/>
        </w:rPr>
        <w:t xml:space="preserve">. Estas </w:t>
      </w:r>
      <w:r w:rsidR="0033680E">
        <w:rPr>
          <w:rFonts w:ascii="Century Gothic" w:hAnsi="Century Gothic" w:cs="Times New Roman"/>
          <w:sz w:val="21"/>
          <w:szCs w:val="21"/>
          <w:lang w:eastAsia="es-ES_tradnl"/>
        </w:rPr>
        <w:t>8</w:t>
      </w:r>
      <w:r w:rsidR="00A352DE">
        <w:rPr>
          <w:rFonts w:ascii="Century Gothic" w:hAnsi="Century Gothic" w:cs="Times New Roman"/>
          <w:sz w:val="21"/>
          <w:szCs w:val="21"/>
          <w:lang w:eastAsia="es-ES_tradnl"/>
        </w:rPr>
        <w:t>.</w:t>
      </w:r>
      <w:r w:rsidR="0033680E">
        <w:rPr>
          <w:rFonts w:ascii="Century Gothic" w:hAnsi="Century Gothic" w:cs="Times New Roman"/>
          <w:sz w:val="21"/>
          <w:szCs w:val="21"/>
          <w:lang w:eastAsia="es-ES_tradnl"/>
        </w:rPr>
        <w:t>224</w:t>
      </w:r>
      <w:r w:rsidRPr="0087641F">
        <w:rPr>
          <w:rFonts w:ascii="Century Gothic" w:hAnsi="Century Gothic" w:cs="Times New Roman"/>
          <w:sz w:val="21"/>
          <w:szCs w:val="21"/>
          <w:lang w:eastAsia="es-ES_tradnl"/>
        </w:rPr>
        <w:t xml:space="preserve"> personas se distribuyen en </w:t>
      </w:r>
      <w:r w:rsidR="008F05DC">
        <w:rPr>
          <w:rFonts w:ascii="Century Gothic" w:hAnsi="Century Gothic" w:cs="Times New Roman"/>
          <w:sz w:val="21"/>
          <w:szCs w:val="21"/>
          <w:lang w:eastAsia="es-ES_tradnl"/>
        </w:rPr>
        <w:t>6</w:t>
      </w:r>
      <w:r w:rsidR="00A352DE">
        <w:rPr>
          <w:rFonts w:ascii="Century Gothic" w:hAnsi="Century Gothic" w:cs="Times New Roman"/>
          <w:sz w:val="21"/>
          <w:szCs w:val="21"/>
          <w:lang w:eastAsia="es-ES_tradnl"/>
        </w:rPr>
        <w:t>.</w:t>
      </w:r>
      <w:r w:rsidR="008F05DC">
        <w:rPr>
          <w:rFonts w:ascii="Century Gothic" w:hAnsi="Century Gothic" w:cs="Times New Roman"/>
          <w:sz w:val="21"/>
          <w:szCs w:val="21"/>
          <w:lang w:eastAsia="es-ES_tradnl"/>
        </w:rPr>
        <w:t>71</w:t>
      </w:r>
      <w:r w:rsidR="00EF7BAA" w:rsidRPr="0087641F">
        <w:rPr>
          <w:rFonts w:ascii="Century Gothic" w:hAnsi="Century Gothic" w:cs="Times New Roman"/>
          <w:sz w:val="21"/>
          <w:szCs w:val="21"/>
          <w:lang w:eastAsia="es-ES_tradnl"/>
        </w:rPr>
        <w:t>3</w:t>
      </w:r>
      <w:r w:rsidRPr="0087641F">
        <w:rPr>
          <w:rFonts w:ascii="Century Gothic" w:hAnsi="Century Gothic" w:cs="Times New Roman"/>
          <w:sz w:val="21"/>
          <w:szCs w:val="21"/>
          <w:lang w:eastAsia="es-ES_tradnl"/>
        </w:rPr>
        <w:t xml:space="preserve"> personas (</w:t>
      </w:r>
      <w:r w:rsidR="008F05DC">
        <w:rPr>
          <w:rFonts w:ascii="Century Gothic" w:hAnsi="Century Gothic" w:cs="Times New Roman"/>
          <w:sz w:val="21"/>
          <w:szCs w:val="21"/>
          <w:lang w:eastAsia="es-ES_tradnl"/>
        </w:rPr>
        <w:t>81</w:t>
      </w:r>
      <w:r w:rsidR="00A352DE">
        <w:rPr>
          <w:rFonts w:ascii="Century Gothic" w:hAnsi="Century Gothic" w:cs="Times New Roman"/>
          <w:sz w:val="21"/>
          <w:szCs w:val="21"/>
          <w:lang w:eastAsia="es-ES_tradnl"/>
        </w:rPr>
        <w:t>,</w:t>
      </w:r>
      <w:r w:rsidR="008F05DC">
        <w:rPr>
          <w:rFonts w:ascii="Century Gothic" w:hAnsi="Century Gothic" w:cs="Times New Roman"/>
          <w:sz w:val="21"/>
          <w:szCs w:val="21"/>
          <w:lang w:eastAsia="es-ES_tradnl"/>
        </w:rPr>
        <w:t>63</w:t>
      </w:r>
      <w:r w:rsidRPr="0087641F">
        <w:rPr>
          <w:rFonts w:ascii="Century Gothic" w:hAnsi="Century Gothic" w:cs="Times New Roman"/>
          <w:sz w:val="21"/>
          <w:szCs w:val="21"/>
          <w:lang w:eastAsia="es-ES_tradnl"/>
        </w:rPr>
        <w:t xml:space="preserve">%, en el año </w:t>
      </w:r>
      <w:r w:rsidR="003540AD" w:rsidRPr="0087641F">
        <w:rPr>
          <w:rFonts w:ascii="Century Gothic" w:hAnsi="Century Gothic" w:cs="Times New Roman"/>
          <w:sz w:val="21"/>
          <w:szCs w:val="21"/>
          <w:lang w:eastAsia="es-ES_tradnl"/>
        </w:rPr>
        <w:t>20</w:t>
      </w:r>
      <w:r w:rsidR="008F05DC">
        <w:rPr>
          <w:rFonts w:ascii="Century Gothic" w:hAnsi="Century Gothic" w:cs="Times New Roman"/>
          <w:sz w:val="21"/>
          <w:szCs w:val="21"/>
          <w:lang w:eastAsia="es-ES_tradnl"/>
        </w:rPr>
        <w:t>20</w:t>
      </w:r>
      <w:r w:rsidRPr="0087641F">
        <w:rPr>
          <w:rFonts w:ascii="Century Gothic" w:hAnsi="Century Gothic" w:cs="Times New Roman"/>
          <w:sz w:val="21"/>
          <w:szCs w:val="21"/>
          <w:lang w:eastAsia="es-ES_tradnl"/>
        </w:rPr>
        <w:t xml:space="preserve"> fue </w:t>
      </w:r>
      <w:r w:rsidR="00EF7BAA" w:rsidRPr="0087641F">
        <w:rPr>
          <w:rFonts w:ascii="Century Gothic" w:hAnsi="Century Gothic" w:cs="Times New Roman"/>
          <w:sz w:val="21"/>
          <w:szCs w:val="21"/>
          <w:lang w:eastAsia="es-ES_tradnl"/>
        </w:rPr>
        <w:t>7</w:t>
      </w:r>
      <w:r w:rsidR="008F05DC">
        <w:rPr>
          <w:rFonts w:ascii="Century Gothic" w:hAnsi="Century Gothic" w:cs="Times New Roman"/>
          <w:sz w:val="21"/>
          <w:szCs w:val="21"/>
          <w:lang w:eastAsia="es-ES_tradnl"/>
        </w:rPr>
        <w:t>5</w:t>
      </w:r>
      <w:r w:rsidR="00A352DE">
        <w:rPr>
          <w:rFonts w:ascii="Century Gothic" w:hAnsi="Century Gothic" w:cs="Times New Roman"/>
          <w:sz w:val="21"/>
          <w:szCs w:val="21"/>
          <w:lang w:eastAsia="es-ES_tradnl"/>
        </w:rPr>
        <w:t>,</w:t>
      </w:r>
      <w:r w:rsidR="008F05DC">
        <w:rPr>
          <w:rFonts w:ascii="Century Gothic" w:hAnsi="Century Gothic" w:cs="Times New Roman"/>
          <w:sz w:val="21"/>
          <w:szCs w:val="21"/>
          <w:lang w:eastAsia="es-ES_tradnl"/>
        </w:rPr>
        <w:t>04</w:t>
      </w:r>
      <w:r w:rsidRPr="0087641F">
        <w:rPr>
          <w:rFonts w:ascii="Century Gothic" w:hAnsi="Century Gothic" w:cs="Times New Roman"/>
          <w:sz w:val="21"/>
          <w:szCs w:val="21"/>
          <w:lang w:eastAsia="es-ES_tradnl"/>
        </w:rPr>
        <w:t xml:space="preserve">%) de personal </w:t>
      </w:r>
      <w:r w:rsidR="00883B7F">
        <w:rPr>
          <w:rFonts w:ascii="Century Gothic" w:hAnsi="Century Gothic" w:cs="Times New Roman"/>
          <w:sz w:val="21"/>
          <w:szCs w:val="21"/>
          <w:lang w:eastAsia="es-ES_tradnl"/>
        </w:rPr>
        <w:t xml:space="preserve">a </w:t>
      </w:r>
      <w:r w:rsidRPr="0087641F">
        <w:rPr>
          <w:rFonts w:ascii="Century Gothic" w:hAnsi="Century Gothic" w:cs="Times New Roman"/>
          <w:sz w:val="21"/>
          <w:szCs w:val="21"/>
          <w:lang w:eastAsia="es-ES_tradnl"/>
        </w:rPr>
        <w:t>tiempo completo, y 1</w:t>
      </w:r>
      <w:r w:rsidR="008F05DC">
        <w:rPr>
          <w:rFonts w:ascii="Century Gothic" w:hAnsi="Century Gothic" w:cs="Times New Roman"/>
          <w:sz w:val="21"/>
          <w:szCs w:val="21"/>
          <w:lang w:eastAsia="es-ES_tradnl"/>
        </w:rPr>
        <w:t>.511</w:t>
      </w:r>
      <w:r w:rsidRPr="0087641F">
        <w:rPr>
          <w:rFonts w:ascii="Century Gothic" w:hAnsi="Century Gothic" w:cs="Times New Roman"/>
          <w:sz w:val="21"/>
          <w:szCs w:val="21"/>
          <w:lang w:eastAsia="es-ES_tradnl"/>
        </w:rPr>
        <w:t xml:space="preserve"> personas (</w:t>
      </w:r>
      <w:r w:rsidR="008F05DC">
        <w:rPr>
          <w:rFonts w:ascii="Century Gothic" w:hAnsi="Century Gothic" w:cs="Times New Roman"/>
          <w:sz w:val="21"/>
          <w:szCs w:val="21"/>
          <w:lang w:eastAsia="es-ES_tradnl"/>
        </w:rPr>
        <w:t>18</w:t>
      </w:r>
      <w:r w:rsidR="00A352DE">
        <w:rPr>
          <w:rFonts w:ascii="Century Gothic" w:hAnsi="Century Gothic" w:cs="Times New Roman"/>
          <w:sz w:val="21"/>
          <w:szCs w:val="21"/>
          <w:lang w:eastAsia="es-ES_tradnl"/>
        </w:rPr>
        <w:t>,</w:t>
      </w:r>
      <w:r w:rsidR="008F05DC">
        <w:rPr>
          <w:rFonts w:ascii="Century Gothic" w:hAnsi="Century Gothic" w:cs="Times New Roman"/>
          <w:sz w:val="21"/>
          <w:szCs w:val="21"/>
          <w:lang w:eastAsia="es-ES_tradnl"/>
        </w:rPr>
        <w:t>37</w:t>
      </w:r>
      <w:r w:rsidRPr="0087641F">
        <w:rPr>
          <w:rFonts w:ascii="Century Gothic" w:hAnsi="Century Gothic" w:cs="Times New Roman"/>
          <w:sz w:val="21"/>
          <w:szCs w:val="21"/>
          <w:lang w:eastAsia="es-ES_tradnl"/>
        </w:rPr>
        <w:t xml:space="preserve">%, en el año </w:t>
      </w:r>
      <w:r w:rsidR="003540AD" w:rsidRPr="0087641F">
        <w:rPr>
          <w:rFonts w:ascii="Century Gothic" w:hAnsi="Century Gothic" w:cs="Times New Roman"/>
          <w:sz w:val="21"/>
          <w:szCs w:val="21"/>
          <w:lang w:eastAsia="es-ES_tradnl"/>
        </w:rPr>
        <w:t>20</w:t>
      </w:r>
      <w:r w:rsidR="008F05DC">
        <w:rPr>
          <w:rFonts w:ascii="Century Gothic" w:hAnsi="Century Gothic" w:cs="Times New Roman"/>
          <w:sz w:val="21"/>
          <w:szCs w:val="21"/>
          <w:lang w:eastAsia="es-ES_tradnl"/>
        </w:rPr>
        <w:t>20</w:t>
      </w:r>
      <w:r w:rsidRPr="0087641F">
        <w:rPr>
          <w:rFonts w:ascii="Century Gothic" w:hAnsi="Century Gothic" w:cs="Times New Roman"/>
          <w:sz w:val="21"/>
          <w:szCs w:val="21"/>
          <w:lang w:eastAsia="es-ES_tradnl"/>
        </w:rPr>
        <w:t xml:space="preserve"> fue </w:t>
      </w:r>
      <w:r w:rsidR="00EF7BAA" w:rsidRPr="0087641F">
        <w:rPr>
          <w:rFonts w:ascii="Century Gothic" w:hAnsi="Century Gothic" w:cs="Times New Roman"/>
          <w:sz w:val="21"/>
          <w:szCs w:val="21"/>
          <w:lang w:eastAsia="es-ES_tradnl"/>
        </w:rPr>
        <w:t>2</w:t>
      </w:r>
      <w:r w:rsidR="008F05DC">
        <w:rPr>
          <w:rFonts w:ascii="Century Gothic" w:hAnsi="Century Gothic" w:cs="Times New Roman"/>
          <w:sz w:val="21"/>
          <w:szCs w:val="21"/>
          <w:lang w:eastAsia="es-ES_tradnl"/>
        </w:rPr>
        <w:t>4</w:t>
      </w:r>
      <w:r w:rsidR="00A352DE">
        <w:rPr>
          <w:rFonts w:ascii="Century Gothic" w:hAnsi="Century Gothic" w:cs="Times New Roman"/>
          <w:sz w:val="21"/>
          <w:szCs w:val="21"/>
          <w:lang w:eastAsia="es-ES_tradnl"/>
        </w:rPr>
        <w:t>,</w:t>
      </w:r>
      <w:r w:rsidR="008F05DC">
        <w:rPr>
          <w:rFonts w:ascii="Century Gothic" w:hAnsi="Century Gothic" w:cs="Times New Roman"/>
          <w:sz w:val="21"/>
          <w:szCs w:val="21"/>
          <w:lang w:eastAsia="es-ES_tradnl"/>
        </w:rPr>
        <w:t>9</w:t>
      </w:r>
      <w:r w:rsidR="00EF7BAA" w:rsidRPr="0087641F">
        <w:rPr>
          <w:rFonts w:ascii="Century Gothic" w:hAnsi="Century Gothic" w:cs="Times New Roman"/>
          <w:sz w:val="21"/>
          <w:szCs w:val="21"/>
          <w:lang w:eastAsia="es-ES_tradnl"/>
        </w:rPr>
        <w:t>6</w:t>
      </w:r>
      <w:r w:rsidRPr="0087641F">
        <w:rPr>
          <w:rFonts w:ascii="Century Gothic" w:hAnsi="Century Gothic" w:cs="Times New Roman"/>
          <w:sz w:val="21"/>
          <w:szCs w:val="21"/>
          <w:lang w:eastAsia="es-ES_tradnl"/>
        </w:rPr>
        <w:t>%) de personal a tiempo parcial.</w:t>
      </w:r>
    </w:p>
    <w:p w14:paraId="029FF74B" w14:textId="77777777" w:rsidR="00646F55" w:rsidRPr="0087641F" w:rsidRDefault="00646F55" w:rsidP="00646F55">
      <w:pPr>
        <w:jc w:val="both"/>
        <w:rPr>
          <w:rFonts w:ascii="Century Gothic" w:hAnsi="Century Gothic" w:cs="Times New Roman"/>
          <w:sz w:val="21"/>
          <w:szCs w:val="21"/>
          <w:lang w:eastAsia="es-ES_tradnl"/>
        </w:rPr>
      </w:pPr>
    </w:p>
    <w:p w14:paraId="4DDEBB75" w14:textId="243CABCB" w:rsidR="00646F55" w:rsidRDefault="00646F55" w:rsidP="00646F55">
      <w:pPr>
        <w:jc w:val="both"/>
        <w:rPr>
          <w:rFonts w:ascii="Century Gothic" w:hAnsi="Century Gothic" w:cs="Times New Roman"/>
          <w:sz w:val="21"/>
          <w:szCs w:val="21"/>
          <w:lang w:eastAsia="es-ES_tradnl"/>
        </w:rPr>
      </w:pPr>
      <w:r w:rsidRPr="0087641F">
        <w:rPr>
          <w:rFonts w:ascii="Century Gothic" w:hAnsi="Century Gothic" w:cs="Times New Roman"/>
          <w:sz w:val="21"/>
          <w:szCs w:val="21"/>
          <w:lang w:eastAsia="es-ES_tradnl"/>
        </w:rPr>
        <w:t xml:space="preserve">En el año </w:t>
      </w:r>
      <w:r w:rsidR="003540AD" w:rsidRPr="0087641F">
        <w:rPr>
          <w:rFonts w:ascii="Century Gothic" w:hAnsi="Century Gothic" w:cs="Times New Roman"/>
          <w:sz w:val="21"/>
          <w:szCs w:val="21"/>
          <w:lang w:eastAsia="es-ES_tradnl"/>
        </w:rPr>
        <w:t>202</w:t>
      </w:r>
      <w:r w:rsidR="009C3698">
        <w:rPr>
          <w:rFonts w:ascii="Century Gothic" w:hAnsi="Century Gothic" w:cs="Times New Roman"/>
          <w:sz w:val="21"/>
          <w:szCs w:val="21"/>
          <w:lang w:eastAsia="es-ES_tradnl"/>
        </w:rPr>
        <w:t>1</w:t>
      </w:r>
      <w:r w:rsidR="004850FF">
        <w:rPr>
          <w:rFonts w:ascii="Century Gothic" w:hAnsi="Century Gothic" w:cs="Times New Roman"/>
          <w:sz w:val="21"/>
          <w:szCs w:val="21"/>
          <w:lang w:eastAsia="es-ES_tradnl"/>
        </w:rPr>
        <w:t>,</w:t>
      </w:r>
      <w:r w:rsidRPr="0087641F">
        <w:rPr>
          <w:rFonts w:ascii="Century Gothic" w:hAnsi="Century Gothic" w:cs="Times New Roman"/>
          <w:sz w:val="21"/>
          <w:szCs w:val="21"/>
          <w:lang w:eastAsia="es-ES_tradnl"/>
        </w:rPr>
        <w:t xml:space="preserve"> el sector que más personal ambiental empleó fue el de </w:t>
      </w:r>
      <w:r w:rsidRPr="0087641F">
        <w:rPr>
          <w:rFonts w:ascii="Century Gothic" w:hAnsi="Century Gothic" w:cs="Times New Roman"/>
          <w:i/>
          <w:sz w:val="21"/>
          <w:szCs w:val="21"/>
          <w:lang w:eastAsia="es-ES_tradnl"/>
        </w:rPr>
        <w:t>Distribución de agua, alcantarillado, gestión de desechos y saneamiento</w:t>
      </w:r>
      <w:r w:rsidRPr="0087641F">
        <w:rPr>
          <w:rFonts w:ascii="Century Gothic" w:hAnsi="Century Gothic" w:cs="Times New Roman"/>
          <w:sz w:val="21"/>
          <w:szCs w:val="21"/>
          <w:lang w:eastAsia="es-ES_tradnl"/>
        </w:rPr>
        <w:t xml:space="preserve">, con </w:t>
      </w:r>
      <w:r w:rsidR="00D711F5" w:rsidRPr="0087641F">
        <w:rPr>
          <w:rFonts w:ascii="Century Gothic" w:hAnsi="Century Gothic" w:cs="Times New Roman"/>
          <w:sz w:val="21"/>
          <w:szCs w:val="21"/>
          <w:lang w:eastAsia="es-ES_tradnl"/>
        </w:rPr>
        <w:t>1</w:t>
      </w:r>
      <w:r w:rsidR="00A352DE">
        <w:rPr>
          <w:rFonts w:ascii="Century Gothic" w:hAnsi="Century Gothic" w:cs="Times New Roman"/>
          <w:sz w:val="21"/>
          <w:szCs w:val="21"/>
          <w:lang w:eastAsia="es-ES_tradnl"/>
        </w:rPr>
        <w:t>.</w:t>
      </w:r>
      <w:r w:rsidR="009C3698">
        <w:rPr>
          <w:rFonts w:ascii="Century Gothic" w:hAnsi="Century Gothic" w:cs="Times New Roman"/>
          <w:sz w:val="21"/>
          <w:szCs w:val="21"/>
          <w:lang w:eastAsia="es-ES_tradnl"/>
        </w:rPr>
        <w:t>6</w:t>
      </w:r>
      <w:r w:rsidR="00D711F5" w:rsidRPr="0087641F">
        <w:rPr>
          <w:rFonts w:ascii="Century Gothic" w:hAnsi="Century Gothic" w:cs="Times New Roman"/>
          <w:sz w:val="21"/>
          <w:szCs w:val="21"/>
          <w:lang w:eastAsia="es-ES_tradnl"/>
        </w:rPr>
        <w:t>1</w:t>
      </w:r>
      <w:r w:rsidR="009C3698">
        <w:rPr>
          <w:rFonts w:ascii="Century Gothic" w:hAnsi="Century Gothic" w:cs="Times New Roman"/>
          <w:sz w:val="21"/>
          <w:szCs w:val="21"/>
          <w:lang w:eastAsia="es-ES_tradnl"/>
        </w:rPr>
        <w:t>5</w:t>
      </w:r>
      <w:r w:rsidRPr="0087641F">
        <w:rPr>
          <w:rFonts w:ascii="Century Gothic" w:hAnsi="Century Gothic" w:cs="Times New Roman"/>
          <w:sz w:val="21"/>
          <w:szCs w:val="21"/>
          <w:lang w:eastAsia="es-ES_tradnl"/>
        </w:rPr>
        <w:t xml:space="preserve"> personas por cada 100 empresas (</w:t>
      </w:r>
      <w:r w:rsidR="00D711F5" w:rsidRPr="0087641F">
        <w:rPr>
          <w:rFonts w:ascii="Century Gothic" w:hAnsi="Century Gothic" w:cs="Times New Roman"/>
          <w:sz w:val="21"/>
          <w:szCs w:val="21"/>
          <w:lang w:eastAsia="es-ES_tradnl"/>
        </w:rPr>
        <w:t>+</w:t>
      </w:r>
      <w:r w:rsidR="009C3698">
        <w:rPr>
          <w:rFonts w:ascii="Century Gothic" w:hAnsi="Century Gothic" w:cs="Times New Roman"/>
          <w:sz w:val="21"/>
          <w:szCs w:val="21"/>
          <w:lang w:eastAsia="es-ES_tradnl"/>
        </w:rPr>
        <w:t>61</w:t>
      </w:r>
      <w:r w:rsidR="00A352DE">
        <w:rPr>
          <w:rFonts w:ascii="Century Gothic" w:hAnsi="Century Gothic" w:cs="Times New Roman"/>
          <w:sz w:val="21"/>
          <w:szCs w:val="21"/>
          <w:lang w:eastAsia="es-ES_tradnl"/>
        </w:rPr>
        <w:t>,</w:t>
      </w:r>
      <w:r w:rsidR="009C3698">
        <w:rPr>
          <w:rFonts w:ascii="Century Gothic" w:hAnsi="Century Gothic" w:cs="Times New Roman"/>
          <w:sz w:val="21"/>
          <w:szCs w:val="21"/>
          <w:lang w:eastAsia="es-ES_tradnl"/>
        </w:rPr>
        <w:t>25</w:t>
      </w:r>
      <w:r w:rsidRPr="0087641F">
        <w:rPr>
          <w:rFonts w:ascii="Century Gothic" w:hAnsi="Century Gothic" w:cs="Times New Roman"/>
          <w:sz w:val="21"/>
          <w:szCs w:val="21"/>
          <w:lang w:eastAsia="es-ES_tradnl"/>
        </w:rPr>
        <w:t xml:space="preserve">% con respecto al </w:t>
      </w:r>
      <w:r w:rsidRPr="0087641F">
        <w:rPr>
          <w:rFonts w:ascii="Century Gothic" w:hAnsi="Century Gothic" w:cs="Times New Roman"/>
          <w:sz w:val="21"/>
          <w:szCs w:val="21"/>
          <w:lang w:eastAsia="es-ES_tradnl"/>
        </w:rPr>
        <w:lastRenderedPageBreak/>
        <w:t xml:space="preserve">año </w:t>
      </w:r>
      <w:r w:rsidR="003540AD" w:rsidRPr="0087641F">
        <w:rPr>
          <w:rFonts w:ascii="Century Gothic" w:hAnsi="Century Gothic" w:cs="Times New Roman"/>
          <w:sz w:val="21"/>
          <w:szCs w:val="21"/>
          <w:lang w:eastAsia="es-ES_tradnl"/>
        </w:rPr>
        <w:t>20</w:t>
      </w:r>
      <w:r w:rsidR="009C3698">
        <w:rPr>
          <w:rFonts w:ascii="Century Gothic" w:hAnsi="Century Gothic" w:cs="Times New Roman"/>
          <w:sz w:val="21"/>
          <w:szCs w:val="21"/>
          <w:lang w:eastAsia="es-ES_tradnl"/>
        </w:rPr>
        <w:t>20</w:t>
      </w:r>
      <w:r w:rsidRPr="0087641F">
        <w:rPr>
          <w:rFonts w:ascii="Century Gothic" w:hAnsi="Century Gothic" w:cs="Times New Roman"/>
          <w:sz w:val="21"/>
          <w:szCs w:val="21"/>
          <w:lang w:eastAsia="es-ES_tradnl"/>
        </w:rPr>
        <w:t xml:space="preserve">). En la Figura </w:t>
      </w:r>
      <w:r w:rsidR="004850FF">
        <w:rPr>
          <w:rFonts w:ascii="Century Gothic" w:hAnsi="Century Gothic" w:cs="Times New Roman"/>
          <w:sz w:val="21"/>
          <w:szCs w:val="21"/>
          <w:lang w:eastAsia="es-ES_tradnl"/>
        </w:rPr>
        <w:t>3</w:t>
      </w:r>
      <w:r w:rsidR="00DD3BE3">
        <w:rPr>
          <w:rFonts w:ascii="Century Gothic" w:hAnsi="Century Gothic" w:cs="Times New Roman"/>
          <w:sz w:val="21"/>
          <w:szCs w:val="21"/>
          <w:lang w:eastAsia="es-ES_tradnl"/>
        </w:rPr>
        <w:t xml:space="preserve"> puede verse que</w:t>
      </w:r>
      <w:r w:rsidRPr="0087641F">
        <w:rPr>
          <w:rFonts w:ascii="Century Gothic" w:hAnsi="Century Gothic" w:cs="Times New Roman"/>
          <w:sz w:val="21"/>
          <w:szCs w:val="21"/>
          <w:lang w:eastAsia="es-ES_tradnl"/>
        </w:rPr>
        <w:t xml:space="preserve"> los sectores con mayores caídas en el personal medio por empresa entre los años </w:t>
      </w:r>
      <w:r w:rsidR="003540AD" w:rsidRPr="0087641F">
        <w:rPr>
          <w:rFonts w:ascii="Century Gothic" w:hAnsi="Century Gothic" w:cs="Times New Roman"/>
          <w:sz w:val="21"/>
          <w:szCs w:val="21"/>
          <w:lang w:eastAsia="es-ES_tradnl"/>
        </w:rPr>
        <w:t>20</w:t>
      </w:r>
      <w:r w:rsidR="004850FF">
        <w:rPr>
          <w:rFonts w:ascii="Century Gothic" w:hAnsi="Century Gothic" w:cs="Times New Roman"/>
          <w:sz w:val="21"/>
          <w:szCs w:val="21"/>
          <w:lang w:eastAsia="es-ES_tradnl"/>
        </w:rPr>
        <w:t>20</w:t>
      </w:r>
      <w:r w:rsidRPr="0087641F">
        <w:rPr>
          <w:rFonts w:ascii="Century Gothic" w:hAnsi="Century Gothic" w:cs="Times New Roman"/>
          <w:sz w:val="21"/>
          <w:szCs w:val="21"/>
          <w:lang w:eastAsia="es-ES_tradnl"/>
        </w:rPr>
        <w:t xml:space="preserve"> y </w:t>
      </w:r>
      <w:r w:rsidR="003540AD" w:rsidRPr="0087641F">
        <w:rPr>
          <w:rFonts w:ascii="Century Gothic" w:hAnsi="Century Gothic" w:cs="Times New Roman"/>
          <w:sz w:val="21"/>
          <w:szCs w:val="21"/>
          <w:lang w:eastAsia="es-ES_tradnl"/>
        </w:rPr>
        <w:t>202</w:t>
      </w:r>
      <w:r w:rsidR="004850FF">
        <w:rPr>
          <w:rFonts w:ascii="Century Gothic" w:hAnsi="Century Gothic" w:cs="Times New Roman"/>
          <w:sz w:val="21"/>
          <w:szCs w:val="21"/>
          <w:lang w:eastAsia="es-ES_tradnl"/>
        </w:rPr>
        <w:t>1</w:t>
      </w:r>
      <w:r w:rsidRPr="0087641F">
        <w:rPr>
          <w:rFonts w:ascii="Century Gothic" w:hAnsi="Century Gothic" w:cs="Times New Roman"/>
          <w:sz w:val="21"/>
          <w:szCs w:val="21"/>
          <w:lang w:eastAsia="es-ES_tradnl"/>
        </w:rPr>
        <w:t xml:space="preserve"> fueron los de </w:t>
      </w:r>
      <w:r w:rsidR="004850FF">
        <w:rPr>
          <w:rFonts w:ascii="Century Gothic" w:hAnsi="Century Gothic" w:cs="Times New Roman"/>
          <w:i/>
          <w:sz w:val="21"/>
          <w:szCs w:val="21"/>
          <w:lang w:eastAsia="es-ES_tradnl"/>
        </w:rPr>
        <w:t xml:space="preserve">Información </w:t>
      </w:r>
      <w:r w:rsidR="004850FF" w:rsidRPr="004850FF">
        <w:rPr>
          <w:rFonts w:ascii="Century Gothic" w:hAnsi="Century Gothic" w:cs="Times New Roman"/>
          <w:i/>
          <w:sz w:val="20"/>
          <w:szCs w:val="20"/>
          <w:lang w:eastAsia="es-ES_tradnl"/>
        </w:rPr>
        <w:t>y</w:t>
      </w:r>
      <w:r w:rsidR="004850FF" w:rsidRPr="004850FF">
        <w:rPr>
          <w:rFonts w:ascii="Century Gothic" w:hAnsi="Century Gothic" w:cs="Times New Roman"/>
          <w:i/>
          <w:sz w:val="18"/>
          <w:szCs w:val="18"/>
          <w:lang w:eastAsia="es-ES_tradnl"/>
        </w:rPr>
        <w:t xml:space="preserve"> </w:t>
      </w:r>
      <w:r w:rsidR="004850FF" w:rsidRPr="004850FF">
        <w:rPr>
          <w:rFonts w:ascii="Century Gothic" w:hAnsi="Century Gothic" w:cs="Times New Roman"/>
          <w:i/>
          <w:sz w:val="20"/>
          <w:szCs w:val="20"/>
          <w:lang w:eastAsia="es-ES_tradnl"/>
        </w:rPr>
        <w:t>Comunicación</w:t>
      </w:r>
      <w:r w:rsidRPr="004850FF">
        <w:rPr>
          <w:rFonts w:ascii="Century Gothic" w:hAnsi="Century Gothic" w:cs="Times New Roman"/>
          <w:sz w:val="18"/>
          <w:szCs w:val="18"/>
          <w:lang w:eastAsia="es-ES_tradnl"/>
        </w:rPr>
        <w:t xml:space="preserve"> </w:t>
      </w:r>
      <w:r w:rsidRPr="0087641F">
        <w:rPr>
          <w:rFonts w:ascii="Century Gothic" w:hAnsi="Century Gothic" w:cs="Times New Roman"/>
          <w:sz w:val="21"/>
          <w:szCs w:val="21"/>
          <w:lang w:eastAsia="es-ES_tradnl"/>
        </w:rPr>
        <w:t>(-</w:t>
      </w:r>
      <w:r w:rsidR="004850FF">
        <w:rPr>
          <w:rFonts w:ascii="Century Gothic" w:hAnsi="Century Gothic" w:cs="Times New Roman"/>
          <w:sz w:val="21"/>
          <w:szCs w:val="21"/>
          <w:lang w:eastAsia="es-ES_tradnl"/>
        </w:rPr>
        <w:t>37</w:t>
      </w:r>
      <w:r w:rsidR="00A352DE">
        <w:rPr>
          <w:rFonts w:ascii="Century Gothic" w:hAnsi="Century Gothic" w:cs="Times New Roman"/>
          <w:sz w:val="21"/>
          <w:szCs w:val="21"/>
          <w:lang w:eastAsia="es-ES_tradnl"/>
        </w:rPr>
        <w:t>,</w:t>
      </w:r>
      <w:r w:rsidR="004850FF">
        <w:rPr>
          <w:rFonts w:ascii="Century Gothic" w:hAnsi="Century Gothic" w:cs="Times New Roman"/>
          <w:sz w:val="21"/>
          <w:szCs w:val="21"/>
          <w:lang w:eastAsia="es-ES_tradnl"/>
        </w:rPr>
        <w:t>38</w:t>
      </w:r>
      <w:r w:rsidRPr="0087641F">
        <w:rPr>
          <w:rFonts w:ascii="Century Gothic" w:hAnsi="Century Gothic" w:cs="Times New Roman"/>
          <w:sz w:val="21"/>
          <w:szCs w:val="21"/>
          <w:lang w:eastAsia="es-ES_tradnl"/>
        </w:rPr>
        <w:t>%)</w:t>
      </w:r>
      <w:r w:rsidR="001D6251" w:rsidRPr="0087641F">
        <w:rPr>
          <w:rFonts w:ascii="Century Gothic" w:hAnsi="Century Gothic" w:cs="Times New Roman"/>
          <w:sz w:val="21"/>
          <w:szCs w:val="21"/>
          <w:lang w:eastAsia="es-ES_tradnl"/>
        </w:rPr>
        <w:t>;</w:t>
      </w:r>
      <w:r w:rsidRPr="0087641F">
        <w:rPr>
          <w:rFonts w:ascii="Century Gothic" w:hAnsi="Century Gothic" w:cs="Times New Roman"/>
          <w:sz w:val="21"/>
          <w:szCs w:val="21"/>
          <w:lang w:eastAsia="es-ES_tradnl"/>
        </w:rPr>
        <w:t xml:space="preserve"> </w:t>
      </w:r>
      <w:r w:rsidR="004850FF">
        <w:rPr>
          <w:rFonts w:ascii="Century Gothic" w:hAnsi="Century Gothic" w:cs="Times New Roman"/>
          <w:i/>
          <w:sz w:val="21"/>
          <w:szCs w:val="21"/>
          <w:lang w:eastAsia="es-ES_tradnl"/>
        </w:rPr>
        <w:t>Explotación de minas</w:t>
      </w:r>
      <w:r w:rsidR="001D6251" w:rsidRPr="0087641F">
        <w:rPr>
          <w:rFonts w:ascii="Century Gothic" w:hAnsi="Century Gothic" w:cs="Times New Roman"/>
          <w:i/>
          <w:sz w:val="21"/>
          <w:szCs w:val="21"/>
          <w:lang w:eastAsia="es-ES_tradnl"/>
        </w:rPr>
        <w:t xml:space="preserve"> y </w:t>
      </w:r>
      <w:r w:rsidR="004850FF">
        <w:rPr>
          <w:rFonts w:ascii="Century Gothic" w:hAnsi="Century Gothic" w:cs="Times New Roman"/>
          <w:i/>
          <w:sz w:val="21"/>
          <w:szCs w:val="21"/>
          <w:lang w:eastAsia="es-ES_tradnl"/>
        </w:rPr>
        <w:t>canteras</w:t>
      </w:r>
      <w:r w:rsidR="00DD3BE3">
        <w:rPr>
          <w:rFonts w:ascii="Century Gothic" w:hAnsi="Century Gothic" w:cs="Times New Roman"/>
          <w:sz w:val="21"/>
          <w:szCs w:val="21"/>
          <w:lang w:eastAsia="es-ES_tradnl"/>
        </w:rPr>
        <w:t xml:space="preserve"> </w:t>
      </w:r>
      <w:r w:rsidRPr="0087641F">
        <w:rPr>
          <w:rFonts w:ascii="Century Gothic" w:hAnsi="Century Gothic" w:cs="Times New Roman"/>
          <w:sz w:val="21"/>
          <w:szCs w:val="21"/>
          <w:lang w:eastAsia="es-ES_tradnl"/>
        </w:rPr>
        <w:t>(-</w:t>
      </w:r>
      <w:r w:rsidR="004850FF">
        <w:rPr>
          <w:rFonts w:ascii="Century Gothic" w:hAnsi="Century Gothic" w:cs="Times New Roman"/>
          <w:sz w:val="21"/>
          <w:szCs w:val="21"/>
          <w:lang w:eastAsia="es-ES_tradnl"/>
        </w:rPr>
        <w:t>36</w:t>
      </w:r>
      <w:r w:rsidR="00A352DE">
        <w:rPr>
          <w:rFonts w:ascii="Century Gothic" w:hAnsi="Century Gothic" w:cs="Times New Roman"/>
          <w:sz w:val="21"/>
          <w:szCs w:val="21"/>
          <w:lang w:eastAsia="es-ES_tradnl"/>
        </w:rPr>
        <w:t>,</w:t>
      </w:r>
      <w:r w:rsidR="004850FF">
        <w:rPr>
          <w:rFonts w:ascii="Century Gothic" w:hAnsi="Century Gothic" w:cs="Times New Roman"/>
          <w:sz w:val="21"/>
          <w:szCs w:val="21"/>
          <w:lang w:eastAsia="es-ES_tradnl"/>
        </w:rPr>
        <w:t>59</w:t>
      </w:r>
      <w:r w:rsidRPr="0087641F">
        <w:rPr>
          <w:rFonts w:ascii="Century Gothic" w:hAnsi="Century Gothic" w:cs="Times New Roman"/>
          <w:sz w:val="21"/>
          <w:szCs w:val="21"/>
          <w:lang w:eastAsia="es-ES_tradnl"/>
        </w:rPr>
        <w:t>%)</w:t>
      </w:r>
      <w:r w:rsidR="001D6251" w:rsidRPr="0087641F">
        <w:rPr>
          <w:rFonts w:ascii="Century Gothic" w:hAnsi="Century Gothic" w:cs="Times New Roman"/>
          <w:sz w:val="21"/>
          <w:szCs w:val="21"/>
          <w:lang w:eastAsia="es-ES_tradnl"/>
        </w:rPr>
        <w:t xml:space="preserve"> y </w:t>
      </w:r>
      <w:r w:rsidR="00DD3BE3" w:rsidRPr="00DD3BE3">
        <w:rPr>
          <w:rFonts w:ascii="Century Gothic" w:hAnsi="Century Gothic" w:cs="Times New Roman"/>
          <w:i/>
          <w:iCs/>
          <w:sz w:val="21"/>
          <w:szCs w:val="21"/>
          <w:lang w:eastAsia="es-ES_tradnl"/>
        </w:rPr>
        <w:t>Construcción</w:t>
      </w:r>
      <w:r w:rsidR="001D6251" w:rsidRPr="0087641F">
        <w:rPr>
          <w:rFonts w:ascii="Century Gothic" w:hAnsi="Century Gothic" w:cs="Times New Roman"/>
          <w:sz w:val="21"/>
          <w:szCs w:val="21"/>
          <w:lang w:eastAsia="es-ES_tradnl"/>
        </w:rPr>
        <w:t xml:space="preserve"> (-3</w:t>
      </w:r>
      <w:r w:rsidR="00DD3BE3">
        <w:rPr>
          <w:rFonts w:ascii="Century Gothic" w:hAnsi="Century Gothic" w:cs="Times New Roman"/>
          <w:sz w:val="21"/>
          <w:szCs w:val="21"/>
          <w:lang w:eastAsia="es-ES_tradnl"/>
        </w:rPr>
        <w:t>4</w:t>
      </w:r>
      <w:r w:rsidR="00A352DE">
        <w:rPr>
          <w:rFonts w:ascii="Century Gothic" w:hAnsi="Century Gothic" w:cs="Times New Roman"/>
          <w:sz w:val="21"/>
          <w:szCs w:val="21"/>
          <w:lang w:eastAsia="es-ES_tradnl"/>
        </w:rPr>
        <w:t>,</w:t>
      </w:r>
      <w:r w:rsidR="00DD3BE3">
        <w:rPr>
          <w:rFonts w:ascii="Century Gothic" w:hAnsi="Century Gothic" w:cs="Times New Roman"/>
          <w:sz w:val="21"/>
          <w:szCs w:val="21"/>
          <w:lang w:eastAsia="es-ES_tradnl"/>
        </w:rPr>
        <w:t>36</w:t>
      </w:r>
      <w:r w:rsidR="001D6251" w:rsidRPr="0087641F">
        <w:rPr>
          <w:rFonts w:ascii="Century Gothic" w:hAnsi="Century Gothic" w:cs="Times New Roman"/>
          <w:sz w:val="21"/>
          <w:szCs w:val="21"/>
          <w:lang w:eastAsia="es-ES_tradnl"/>
        </w:rPr>
        <w:t>%)</w:t>
      </w:r>
      <w:r w:rsidRPr="0087641F">
        <w:rPr>
          <w:rFonts w:ascii="Century Gothic" w:hAnsi="Century Gothic" w:cs="Times New Roman"/>
          <w:sz w:val="21"/>
          <w:szCs w:val="21"/>
          <w:lang w:eastAsia="es-ES_tradnl"/>
        </w:rPr>
        <w:t xml:space="preserve">. En cambio, los sectores donde aumentó este indicador fueron: </w:t>
      </w:r>
      <w:r w:rsidR="00FB1F73" w:rsidRPr="0087641F">
        <w:rPr>
          <w:rFonts w:ascii="Century Gothic" w:hAnsi="Century Gothic" w:cs="Times New Roman"/>
          <w:i/>
          <w:sz w:val="21"/>
          <w:szCs w:val="21"/>
          <w:lang w:eastAsia="es-ES_tradnl"/>
        </w:rPr>
        <w:t>Distribución de agua</w:t>
      </w:r>
      <w:r w:rsidR="00DD3BE3">
        <w:rPr>
          <w:rFonts w:ascii="Century Gothic" w:hAnsi="Century Gothic" w:cs="Times New Roman"/>
          <w:i/>
          <w:sz w:val="21"/>
          <w:szCs w:val="21"/>
          <w:lang w:eastAsia="es-ES_tradnl"/>
        </w:rPr>
        <w:t xml:space="preserve"> y alcantarillado</w:t>
      </w:r>
      <w:r w:rsidRPr="0087641F">
        <w:rPr>
          <w:rFonts w:ascii="Century Gothic" w:hAnsi="Century Gothic" w:cs="Times New Roman"/>
          <w:sz w:val="21"/>
          <w:szCs w:val="21"/>
          <w:lang w:eastAsia="es-ES_tradnl"/>
        </w:rPr>
        <w:t xml:space="preserve"> (+</w:t>
      </w:r>
      <w:r w:rsidR="00DD3BE3">
        <w:rPr>
          <w:rFonts w:ascii="Century Gothic" w:hAnsi="Century Gothic" w:cs="Times New Roman"/>
          <w:sz w:val="21"/>
          <w:szCs w:val="21"/>
          <w:lang w:eastAsia="es-ES_tradnl"/>
        </w:rPr>
        <w:t>61</w:t>
      </w:r>
      <w:r w:rsidR="00A352DE">
        <w:rPr>
          <w:rFonts w:ascii="Century Gothic" w:hAnsi="Century Gothic" w:cs="Times New Roman"/>
          <w:sz w:val="21"/>
          <w:szCs w:val="21"/>
          <w:lang w:eastAsia="es-ES_tradnl"/>
        </w:rPr>
        <w:t>,</w:t>
      </w:r>
      <w:r w:rsidR="00DD3BE3">
        <w:rPr>
          <w:rFonts w:ascii="Century Gothic" w:hAnsi="Century Gothic" w:cs="Times New Roman"/>
          <w:sz w:val="21"/>
          <w:szCs w:val="21"/>
          <w:lang w:eastAsia="es-ES_tradnl"/>
        </w:rPr>
        <w:t>25</w:t>
      </w:r>
      <w:r w:rsidRPr="0087641F">
        <w:rPr>
          <w:rFonts w:ascii="Century Gothic" w:hAnsi="Century Gothic" w:cs="Times New Roman"/>
          <w:sz w:val="21"/>
          <w:szCs w:val="21"/>
          <w:lang w:eastAsia="es-ES_tradnl"/>
        </w:rPr>
        <w:t xml:space="preserve">%), </w:t>
      </w:r>
      <w:r w:rsidR="00FB1F73" w:rsidRPr="0087641F">
        <w:rPr>
          <w:rFonts w:ascii="Century Gothic" w:hAnsi="Century Gothic" w:cs="Times New Roman"/>
          <w:i/>
          <w:sz w:val="21"/>
          <w:szCs w:val="21"/>
          <w:lang w:eastAsia="es-ES_tradnl"/>
        </w:rPr>
        <w:t>Co</w:t>
      </w:r>
      <w:r w:rsidR="00DD3BE3">
        <w:rPr>
          <w:rFonts w:ascii="Century Gothic" w:hAnsi="Century Gothic" w:cs="Times New Roman"/>
          <w:i/>
          <w:sz w:val="21"/>
          <w:szCs w:val="21"/>
          <w:lang w:eastAsia="es-ES_tradnl"/>
        </w:rPr>
        <w:t>mercio al por mayor y me</w:t>
      </w:r>
      <w:r w:rsidR="00FB1F73" w:rsidRPr="0087641F">
        <w:rPr>
          <w:rFonts w:ascii="Century Gothic" w:hAnsi="Century Gothic" w:cs="Times New Roman"/>
          <w:i/>
          <w:sz w:val="21"/>
          <w:szCs w:val="21"/>
          <w:lang w:eastAsia="es-ES_tradnl"/>
        </w:rPr>
        <w:t>n</w:t>
      </w:r>
      <w:r w:rsidR="00DD3BE3">
        <w:rPr>
          <w:rFonts w:ascii="Century Gothic" w:hAnsi="Century Gothic" w:cs="Times New Roman"/>
          <w:i/>
          <w:sz w:val="21"/>
          <w:szCs w:val="21"/>
          <w:lang w:eastAsia="es-ES_tradnl"/>
        </w:rPr>
        <w:t>or</w:t>
      </w:r>
      <w:r w:rsidRPr="0087641F">
        <w:rPr>
          <w:rFonts w:ascii="Century Gothic" w:hAnsi="Century Gothic" w:cs="Times New Roman"/>
          <w:sz w:val="21"/>
          <w:szCs w:val="21"/>
          <w:lang w:eastAsia="es-ES_tradnl"/>
        </w:rPr>
        <w:t xml:space="preserve"> (+</w:t>
      </w:r>
      <w:r w:rsidR="00FB1F73" w:rsidRPr="0087641F">
        <w:rPr>
          <w:rFonts w:ascii="Century Gothic" w:hAnsi="Century Gothic" w:cs="Times New Roman"/>
          <w:sz w:val="21"/>
          <w:szCs w:val="21"/>
          <w:lang w:eastAsia="es-ES_tradnl"/>
        </w:rPr>
        <w:t>5</w:t>
      </w:r>
      <w:r w:rsidR="00DD3BE3">
        <w:rPr>
          <w:rFonts w:ascii="Century Gothic" w:hAnsi="Century Gothic" w:cs="Times New Roman"/>
          <w:sz w:val="21"/>
          <w:szCs w:val="21"/>
          <w:lang w:eastAsia="es-ES_tradnl"/>
        </w:rPr>
        <w:t>8</w:t>
      </w:r>
      <w:r w:rsidR="00A352DE">
        <w:rPr>
          <w:rFonts w:ascii="Century Gothic" w:hAnsi="Century Gothic" w:cs="Times New Roman"/>
          <w:sz w:val="21"/>
          <w:szCs w:val="21"/>
          <w:lang w:eastAsia="es-ES_tradnl"/>
        </w:rPr>
        <w:t>,</w:t>
      </w:r>
      <w:r w:rsidR="00DD3BE3">
        <w:rPr>
          <w:rFonts w:ascii="Century Gothic" w:hAnsi="Century Gothic" w:cs="Times New Roman"/>
          <w:sz w:val="21"/>
          <w:szCs w:val="21"/>
          <w:lang w:eastAsia="es-ES_tradnl"/>
        </w:rPr>
        <w:t>03</w:t>
      </w:r>
      <w:r w:rsidRPr="0087641F">
        <w:rPr>
          <w:rFonts w:ascii="Century Gothic" w:hAnsi="Century Gothic" w:cs="Times New Roman"/>
          <w:sz w:val="21"/>
          <w:szCs w:val="21"/>
          <w:lang w:eastAsia="es-ES_tradnl"/>
        </w:rPr>
        <w:t xml:space="preserve">%) y </w:t>
      </w:r>
      <w:r w:rsidRPr="0087641F">
        <w:rPr>
          <w:rFonts w:ascii="Century Gothic" w:hAnsi="Century Gothic" w:cs="Times New Roman"/>
          <w:i/>
          <w:sz w:val="21"/>
          <w:szCs w:val="21"/>
          <w:lang w:eastAsia="es-ES_tradnl"/>
        </w:rPr>
        <w:t xml:space="preserve">Actividades </w:t>
      </w:r>
      <w:r w:rsidR="00031841">
        <w:rPr>
          <w:rFonts w:ascii="Century Gothic" w:hAnsi="Century Gothic" w:cs="Times New Roman"/>
          <w:i/>
          <w:sz w:val="21"/>
          <w:szCs w:val="21"/>
          <w:lang w:eastAsia="es-ES_tradnl"/>
        </w:rPr>
        <w:t>de atención de la salud humana</w:t>
      </w:r>
      <w:r w:rsidRPr="0087641F">
        <w:rPr>
          <w:rFonts w:ascii="Century Gothic" w:hAnsi="Century Gothic" w:cs="Times New Roman"/>
          <w:sz w:val="21"/>
          <w:szCs w:val="21"/>
          <w:lang w:eastAsia="es-ES_tradnl"/>
        </w:rPr>
        <w:t xml:space="preserve"> (+</w:t>
      </w:r>
      <w:r w:rsidR="00410B4F">
        <w:rPr>
          <w:rFonts w:ascii="Century Gothic" w:hAnsi="Century Gothic" w:cs="Times New Roman"/>
          <w:sz w:val="21"/>
          <w:szCs w:val="21"/>
          <w:lang w:eastAsia="es-ES_tradnl"/>
        </w:rPr>
        <w:t>52</w:t>
      </w:r>
      <w:r w:rsidR="00A352DE">
        <w:rPr>
          <w:rFonts w:ascii="Century Gothic" w:hAnsi="Century Gothic" w:cs="Times New Roman"/>
          <w:sz w:val="21"/>
          <w:szCs w:val="21"/>
          <w:lang w:eastAsia="es-ES_tradnl"/>
        </w:rPr>
        <w:t>,</w:t>
      </w:r>
      <w:r w:rsidR="00410B4F">
        <w:rPr>
          <w:rFonts w:ascii="Century Gothic" w:hAnsi="Century Gothic" w:cs="Times New Roman"/>
          <w:sz w:val="21"/>
          <w:szCs w:val="21"/>
          <w:lang w:eastAsia="es-ES_tradnl"/>
        </w:rPr>
        <w:t>88</w:t>
      </w:r>
      <w:r w:rsidRPr="0087641F">
        <w:rPr>
          <w:rFonts w:ascii="Century Gothic" w:hAnsi="Century Gothic" w:cs="Times New Roman"/>
          <w:sz w:val="21"/>
          <w:szCs w:val="21"/>
          <w:lang w:eastAsia="es-ES_tradnl"/>
        </w:rPr>
        <w:t>%).</w:t>
      </w:r>
    </w:p>
    <w:p w14:paraId="22243C80" w14:textId="77777777" w:rsidR="00CD6E19" w:rsidRPr="00BA26E3" w:rsidRDefault="00CD6E19" w:rsidP="00646F55">
      <w:pPr>
        <w:jc w:val="both"/>
        <w:rPr>
          <w:rFonts w:ascii="Century Gothic" w:hAnsi="Century Gothic" w:cs="Times New Roman"/>
          <w:sz w:val="21"/>
          <w:szCs w:val="21"/>
          <w:lang w:eastAsia="es-ES_tradnl"/>
        </w:rPr>
      </w:pPr>
    </w:p>
    <w:p w14:paraId="103AEA2C" w14:textId="17229151" w:rsidR="00646F55" w:rsidRPr="00646F55" w:rsidRDefault="0092758E" w:rsidP="00646F55">
      <w:pPr>
        <w:pStyle w:val="Descripcin"/>
        <w:keepNext/>
        <w:jc w:val="both"/>
      </w:pPr>
      <w:bookmarkStart w:id="10" w:name="_Toc132722356"/>
      <w:r w:rsidRPr="00312243">
        <w:rPr>
          <w:rFonts w:cstheme="minorHAnsi"/>
          <w:b/>
          <w:i w:val="0"/>
          <w:iCs w:val="0"/>
          <w:color w:val="auto"/>
          <w:sz w:val="16"/>
          <w:szCs w:val="16"/>
        </w:rPr>
        <w:t xml:space="preserve">Figura </w:t>
      </w:r>
      <w:r w:rsidRPr="00312243">
        <w:rPr>
          <w:rFonts w:cstheme="minorHAnsi"/>
          <w:b/>
          <w:i w:val="0"/>
          <w:iCs w:val="0"/>
          <w:color w:val="auto"/>
          <w:sz w:val="16"/>
          <w:szCs w:val="16"/>
        </w:rPr>
        <w:fldChar w:fldCharType="begin"/>
      </w:r>
      <w:r w:rsidRPr="00312243">
        <w:rPr>
          <w:rFonts w:cstheme="minorHAnsi"/>
          <w:b/>
          <w:i w:val="0"/>
          <w:iCs w:val="0"/>
          <w:color w:val="auto"/>
          <w:sz w:val="16"/>
          <w:szCs w:val="16"/>
        </w:rPr>
        <w:instrText xml:space="preserve"> SEQ Figura \* ARABIC </w:instrText>
      </w:r>
      <w:r w:rsidRPr="00312243">
        <w:rPr>
          <w:rFonts w:cstheme="minorHAnsi"/>
          <w:b/>
          <w:i w:val="0"/>
          <w:iCs w:val="0"/>
          <w:color w:val="auto"/>
          <w:sz w:val="16"/>
          <w:szCs w:val="16"/>
        </w:rPr>
        <w:fldChar w:fldCharType="separate"/>
      </w:r>
      <w:r>
        <w:rPr>
          <w:rFonts w:cstheme="minorHAnsi"/>
          <w:b/>
          <w:i w:val="0"/>
          <w:iCs w:val="0"/>
          <w:noProof/>
          <w:color w:val="auto"/>
          <w:sz w:val="16"/>
          <w:szCs w:val="16"/>
        </w:rPr>
        <w:t>3</w:t>
      </w:r>
      <w:r w:rsidRPr="00312243">
        <w:rPr>
          <w:rFonts w:cstheme="minorHAnsi"/>
          <w:b/>
          <w:i w:val="0"/>
          <w:iCs w:val="0"/>
          <w:color w:val="auto"/>
          <w:sz w:val="16"/>
          <w:szCs w:val="16"/>
        </w:rPr>
        <w:fldChar w:fldCharType="end"/>
      </w:r>
      <w:r w:rsidR="00646F55" w:rsidRPr="0087641F">
        <w:rPr>
          <w:rFonts w:cstheme="minorHAnsi"/>
          <w:b/>
          <w:i w:val="0"/>
          <w:iCs w:val="0"/>
          <w:color w:val="auto"/>
          <w:sz w:val="16"/>
          <w:szCs w:val="16"/>
        </w:rPr>
        <w:t>.</w:t>
      </w:r>
      <w:r w:rsidR="00646F55" w:rsidRPr="0087641F">
        <w:rPr>
          <w:rFonts w:cs="Calibri"/>
          <w:color w:val="000000"/>
          <w:sz w:val="16"/>
          <w:szCs w:val="16"/>
        </w:rPr>
        <w:t xml:space="preserve"> </w:t>
      </w:r>
      <w:r w:rsidR="00646F55" w:rsidRPr="0087641F">
        <w:rPr>
          <w:rFonts w:cs="Calibri"/>
          <w:i w:val="0"/>
          <w:color w:val="000000"/>
          <w:sz w:val="16"/>
          <w:szCs w:val="16"/>
        </w:rPr>
        <w:t>Personal ambiental medio por</w:t>
      </w:r>
      <w:r w:rsidR="00397BF4">
        <w:rPr>
          <w:rFonts w:cs="Calibri"/>
          <w:i w:val="0"/>
          <w:color w:val="000000"/>
          <w:sz w:val="16"/>
          <w:szCs w:val="16"/>
        </w:rPr>
        <w:t xml:space="preserve"> cada</w:t>
      </w:r>
      <w:r w:rsidR="00646F55" w:rsidRPr="0087641F">
        <w:rPr>
          <w:rFonts w:cs="Calibri"/>
          <w:i w:val="0"/>
          <w:color w:val="000000"/>
          <w:sz w:val="16"/>
          <w:szCs w:val="16"/>
        </w:rPr>
        <w:t xml:space="preserve"> 100 empresas, por actividad económica (</w:t>
      </w:r>
      <w:r w:rsidR="003540AD" w:rsidRPr="0087641F">
        <w:rPr>
          <w:rFonts w:cs="Calibri"/>
          <w:i w:val="0"/>
          <w:color w:val="000000"/>
          <w:sz w:val="16"/>
          <w:szCs w:val="16"/>
        </w:rPr>
        <w:t>20</w:t>
      </w:r>
      <w:r w:rsidR="009439E5">
        <w:rPr>
          <w:rFonts w:cs="Calibri"/>
          <w:i w:val="0"/>
          <w:color w:val="000000"/>
          <w:sz w:val="16"/>
          <w:szCs w:val="16"/>
        </w:rPr>
        <w:t>20</w:t>
      </w:r>
      <w:r w:rsidR="00646F55" w:rsidRPr="0087641F">
        <w:rPr>
          <w:rFonts w:cs="Calibri"/>
          <w:i w:val="0"/>
          <w:color w:val="000000"/>
          <w:sz w:val="16"/>
          <w:szCs w:val="16"/>
        </w:rPr>
        <w:t>-</w:t>
      </w:r>
      <w:r w:rsidR="003540AD" w:rsidRPr="0087641F">
        <w:rPr>
          <w:rFonts w:cs="Calibri"/>
          <w:i w:val="0"/>
          <w:color w:val="000000"/>
          <w:sz w:val="16"/>
          <w:szCs w:val="16"/>
        </w:rPr>
        <w:t>202</w:t>
      </w:r>
      <w:r w:rsidR="009439E5">
        <w:rPr>
          <w:rFonts w:cs="Calibri"/>
          <w:i w:val="0"/>
          <w:color w:val="000000"/>
          <w:sz w:val="16"/>
          <w:szCs w:val="16"/>
        </w:rPr>
        <w:t>1</w:t>
      </w:r>
      <w:r w:rsidR="00646F55" w:rsidRPr="0087641F">
        <w:rPr>
          <w:rFonts w:cs="Calibri"/>
          <w:i w:val="0"/>
          <w:color w:val="000000"/>
          <w:sz w:val="16"/>
          <w:szCs w:val="16"/>
        </w:rPr>
        <w:t>).</w:t>
      </w:r>
      <w:bookmarkEnd w:id="10"/>
    </w:p>
    <w:p w14:paraId="3F36613E" w14:textId="52032426" w:rsidR="00646F55" w:rsidRPr="00646F55" w:rsidRDefault="00F216A9" w:rsidP="00646F55">
      <w:pPr>
        <w:jc w:val="both"/>
        <w:rPr>
          <w:rFonts w:ascii="Century Gothic" w:hAnsi="Century Gothic" w:cs="Times New Roman"/>
          <w:sz w:val="20"/>
          <w:szCs w:val="20"/>
          <w:lang w:eastAsia="es-ES_tradnl"/>
        </w:rPr>
      </w:pPr>
      <w:r>
        <w:rPr>
          <w:noProof/>
        </w:rPr>
        <w:drawing>
          <wp:inline distT="0" distB="0" distL="0" distR="0" wp14:anchorId="5D8EA63C" wp14:editId="4A27523B">
            <wp:extent cx="2473325" cy="3096883"/>
            <wp:effectExtent l="0" t="0" r="3175" b="8890"/>
            <wp:docPr id="7" name="Gráfico 7">
              <a:extLst xmlns:a="http://schemas.openxmlformats.org/drawingml/2006/main">
                <a:ext uri="{FF2B5EF4-FFF2-40B4-BE49-F238E27FC236}">
                  <a16:creationId xmlns:a16="http://schemas.microsoft.com/office/drawing/2014/main" id="{D823A6EE-01FF-48A0-9C14-DDB076737C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43D5766" w14:textId="77777777" w:rsidR="00646F55" w:rsidRPr="00646F55" w:rsidRDefault="00646F55" w:rsidP="00646F55">
      <w:pPr>
        <w:jc w:val="both"/>
        <w:rPr>
          <w:rFonts w:ascii="Century Gothic" w:hAnsi="Century Gothic" w:cs="Calibri"/>
          <w:b/>
          <w:color w:val="000000"/>
          <w:sz w:val="14"/>
          <w:szCs w:val="16"/>
        </w:rPr>
      </w:pPr>
    </w:p>
    <w:p w14:paraId="604EAFA8" w14:textId="6D0B1CC8" w:rsidR="00646F55" w:rsidRPr="00646F55" w:rsidRDefault="00646F55" w:rsidP="00646F55">
      <w:pPr>
        <w:jc w:val="both"/>
        <w:rPr>
          <w:rFonts w:ascii="Century Gothic" w:hAnsi="Century Gothic" w:cs="Calibri"/>
          <w:color w:val="000000"/>
          <w:sz w:val="16"/>
          <w:szCs w:val="16"/>
        </w:rPr>
      </w:pPr>
      <w:r w:rsidRPr="00646F55">
        <w:rPr>
          <w:rFonts w:ascii="Century Gothic" w:hAnsi="Century Gothic" w:cs="Calibri"/>
          <w:b/>
          <w:color w:val="000000"/>
          <w:sz w:val="14"/>
          <w:szCs w:val="16"/>
        </w:rPr>
        <w:t>Fuente</w:t>
      </w:r>
      <w:r w:rsidRPr="00646F55">
        <w:rPr>
          <w:rFonts w:ascii="Century Gothic" w:hAnsi="Century Gothic" w:cs="Calibri"/>
          <w:b/>
          <w:color w:val="000000"/>
          <w:sz w:val="16"/>
          <w:szCs w:val="16"/>
        </w:rPr>
        <w:t>:</w:t>
      </w:r>
      <w:r w:rsidRPr="00646F55">
        <w:rPr>
          <w:rFonts w:ascii="Century Gothic" w:hAnsi="Century Gothic" w:cs="Calibri"/>
          <w:color w:val="000000"/>
          <w:sz w:val="16"/>
          <w:szCs w:val="16"/>
        </w:rPr>
        <w:t xml:space="preserve"> </w:t>
      </w:r>
      <w:r w:rsidRPr="00646F55">
        <w:rPr>
          <w:rFonts w:ascii="Century Gothic" w:hAnsi="Century Gothic" w:cs="Calibri"/>
          <w:color w:val="404040" w:themeColor="text1" w:themeTint="BF"/>
          <w:sz w:val="14"/>
          <w:szCs w:val="14"/>
        </w:rPr>
        <w:t xml:space="preserve">Módulo Ambiental </w:t>
      </w:r>
      <w:r w:rsidR="00EE29C2">
        <w:rPr>
          <w:rFonts w:ascii="Century Gothic" w:hAnsi="Century Gothic" w:cs="Calibri"/>
          <w:color w:val="404040" w:themeColor="text1" w:themeTint="BF"/>
          <w:sz w:val="14"/>
          <w:szCs w:val="14"/>
        </w:rPr>
        <w:t xml:space="preserve">Económica </w:t>
      </w:r>
      <w:r w:rsidRPr="00646F55">
        <w:rPr>
          <w:rFonts w:ascii="Century Gothic" w:hAnsi="Century Gothic" w:cs="Calibri"/>
          <w:color w:val="404040" w:themeColor="text1" w:themeTint="BF"/>
          <w:sz w:val="14"/>
          <w:szCs w:val="14"/>
        </w:rPr>
        <w:t xml:space="preserve">ENESEM </w:t>
      </w:r>
      <w:r w:rsidR="003540AD">
        <w:rPr>
          <w:rFonts w:ascii="Century Gothic" w:hAnsi="Century Gothic" w:cs="Calibri"/>
          <w:color w:val="404040" w:themeColor="text1" w:themeTint="BF"/>
          <w:sz w:val="14"/>
          <w:szCs w:val="14"/>
        </w:rPr>
        <w:t>20</w:t>
      </w:r>
      <w:r w:rsidR="00F216A9">
        <w:rPr>
          <w:rFonts w:ascii="Century Gothic" w:hAnsi="Century Gothic" w:cs="Calibri"/>
          <w:color w:val="404040" w:themeColor="text1" w:themeTint="BF"/>
          <w:sz w:val="14"/>
          <w:szCs w:val="14"/>
        </w:rPr>
        <w:t>20</w:t>
      </w:r>
      <w:r w:rsidRPr="00646F55">
        <w:rPr>
          <w:rFonts w:ascii="Century Gothic" w:hAnsi="Century Gothic" w:cs="Calibri"/>
          <w:color w:val="404040" w:themeColor="text1" w:themeTint="BF"/>
          <w:sz w:val="14"/>
          <w:szCs w:val="14"/>
        </w:rPr>
        <w:t>-</w:t>
      </w:r>
      <w:r w:rsidR="003540AD">
        <w:rPr>
          <w:rFonts w:ascii="Century Gothic" w:hAnsi="Century Gothic" w:cs="Calibri"/>
          <w:color w:val="404040" w:themeColor="text1" w:themeTint="BF"/>
          <w:sz w:val="14"/>
          <w:szCs w:val="14"/>
        </w:rPr>
        <w:t>202</w:t>
      </w:r>
      <w:r w:rsidR="00F216A9">
        <w:rPr>
          <w:rFonts w:ascii="Century Gothic" w:hAnsi="Century Gothic" w:cs="Calibri"/>
          <w:color w:val="404040" w:themeColor="text1" w:themeTint="BF"/>
          <w:sz w:val="14"/>
          <w:szCs w:val="14"/>
        </w:rPr>
        <w:t>1</w:t>
      </w:r>
      <w:r w:rsidRPr="00646F55">
        <w:rPr>
          <w:rFonts w:ascii="Century Gothic" w:hAnsi="Century Gothic" w:cs="Calibri"/>
          <w:color w:val="404040" w:themeColor="text1" w:themeTint="BF"/>
          <w:sz w:val="14"/>
          <w:szCs w:val="14"/>
        </w:rPr>
        <w:t>.</w:t>
      </w:r>
    </w:p>
    <w:p w14:paraId="4A7C1A77" w14:textId="77777777" w:rsidR="00BA26E3" w:rsidRPr="00BA26E3" w:rsidRDefault="00BA26E3" w:rsidP="00646F55">
      <w:pPr>
        <w:jc w:val="both"/>
        <w:rPr>
          <w:rFonts w:ascii="Century Gothic" w:hAnsi="Century Gothic" w:cs="Times New Roman"/>
          <w:sz w:val="21"/>
          <w:szCs w:val="21"/>
          <w:lang w:eastAsia="es-ES_tradnl"/>
        </w:rPr>
      </w:pPr>
    </w:p>
    <w:p w14:paraId="7295BEF9" w14:textId="5F7E210D" w:rsidR="00876D03" w:rsidRDefault="00646F55" w:rsidP="00646F55">
      <w:pPr>
        <w:jc w:val="both"/>
        <w:rPr>
          <w:rFonts w:ascii="Century Gothic" w:hAnsi="Century Gothic" w:cs="Times New Roman"/>
          <w:sz w:val="21"/>
          <w:szCs w:val="21"/>
          <w:lang w:eastAsia="es-ES_tradnl"/>
        </w:rPr>
      </w:pPr>
      <w:r w:rsidRPr="0087641F">
        <w:rPr>
          <w:rFonts w:ascii="Century Gothic" w:hAnsi="Century Gothic" w:cs="Times New Roman"/>
          <w:sz w:val="21"/>
          <w:szCs w:val="21"/>
          <w:lang w:eastAsia="es-ES_tradnl"/>
        </w:rPr>
        <w:t xml:space="preserve">Con respecto al personal ambiental </w:t>
      </w:r>
      <w:r w:rsidR="00876D03">
        <w:rPr>
          <w:rFonts w:ascii="Century Gothic" w:hAnsi="Century Gothic" w:cs="Times New Roman"/>
          <w:sz w:val="21"/>
          <w:szCs w:val="21"/>
          <w:lang w:eastAsia="es-ES_tradnl"/>
        </w:rPr>
        <w:t xml:space="preserve">se puede decir que en términos generales ha mejorado en alguna medida la estabilidad laboral del personal dedicado a actividades ambientales. Las contrataciones nuevas son mayores en proporción que las rotaciones de personal. Sin embargo, de todas las actividades económicas que redujeron su personal ambiental, la que tiene un saldo negativo y preocupante es </w:t>
      </w:r>
      <w:r w:rsidR="00876D03" w:rsidRPr="0094597B">
        <w:rPr>
          <w:rFonts w:ascii="Century Gothic" w:hAnsi="Century Gothic" w:cs="Times New Roman"/>
          <w:i/>
          <w:iCs/>
          <w:sz w:val="21"/>
          <w:szCs w:val="21"/>
          <w:lang w:eastAsia="es-ES_tradnl"/>
        </w:rPr>
        <w:t>B. Explotación de minas y canteras</w:t>
      </w:r>
      <w:r w:rsidR="00876D03">
        <w:rPr>
          <w:rFonts w:ascii="Century Gothic" w:hAnsi="Century Gothic" w:cs="Times New Roman"/>
          <w:sz w:val="21"/>
          <w:szCs w:val="21"/>
          <w:lang w:eastAsia="es-ES_tradnl"/>
        </w:rPr>
        <w:t>, que con una reducción interanual del 36.59%</w:t>
      </w:r>
      <w:r w:rsidR="0094597B">
        <w:rPr>
          <w:rFonts w:ascii="Century Gothic" w:hAnsi="Century Gothic" w:cs="Times New Roman"/>
          <w:sz w:val="21"/>
          <w:szCs w:val="21"/>
          <w:lang w:eastAsia="es-ES_tradnl"/>
        </w:rPr>
        <w:t xml:space="preserve"> en personal ambiental</w:t>
      </w:r>
      <w:r w:rsidR="00876D03">
        <w:rPr>
          <w:rFonts w:ascii="Century Gothic" w:hAnsi="Century Gothic" w:cs="Times New Roman"/>
          <w:sz w:val="21"/>
          <w:szCs w:val="21"/>
          <w:lang w:eastAsia="es-ES_tradnl"/>
        </w:rPr>
        <w:t xml:space="preserve">, es la actividad que mayor IA </w:t>
      </w:r>
      <w:r w:rsidR="0094597B">
        <w:rPr>
          <w:rFonts w:ascii="Century Gothic" w:hAnsi="Century Gothic" w:cs="Times New Roman"/>
          <w:sz w:val="21"/>
          <w:szCs w:val="21"/>
          <w:lang w:eastAsia="es-ES_tradnl"/>
        </w:rPr>
        <w:t>genera</w:t>
      </w:r>
      <w:r w:rsidR="00876D03">
        <w:rPr>
          <w:rFonts w:ascii="Century Gothic" w:hAnsi="Century Gothic" w:cs="Times New Roman"/>
          <w:sz w:val="21"/>
          <w:szCs w:val="21"/>
          <w:lang w:eastAsia="es-ES_tradnl"/>
        </w:rPr>
        <w:t>.</w:t>
      </w:r>
    </w:p>
    <w:p w14:paraId="547645C9" w14:textId="77777777" w:rsidR="00646F55" w:rsidRPr="00646F55" w:rsidRDefault="00646F55" w:rsidP="00646F55">
      <w:pPr>
        <w:pStyle w:val="Ttulo2"/>
        <w:numPr>
          <w:ilvl w:val="0"/>
          <w:numId w:val="12"/>
        </w:numPr>
        <w:rPr>
          <w:rFonts w:ascii="Century Gothic" w:hAnsi="Century Gothic"/>
          <w:color w:val="767171" w:themeColor="background2" w:themeShade="80"/>
          <w:sz w:val="24"/>
        </w:rPr>
      </w:pPr>
      <w:bookmarkStart w:id="11" w:name="_Toc132722343"/>
      <w:r w:rsidRPr="00646F55">
        <w:rPr>
          <w:rFonts w:ascii="Century Gothic" w:hAnsi="Century Gothic"/>
          <w:color w:val="767171" w:themeColor="background2" w:themeShade="80"/>
          <w:sz w:val="24"/>
        </w:rPr>
        <w:t>Gestión ambiental y gastos corrientes en gestión ambiental</w:t>
      </w:r>
      <w:bookmarkEnd w:id="11"/>
    </w:p>
    <w:p w14:paraId="58600643" w14:textId="77777777" w:rsidR="00646F55" w:rsidRPr="00BA26E3" w:rsidRDefault="00646F55" w:rsidP="00646F55">
      <w:pPr>
        <w:jc w:val="both"/>
        <w:rPr>
          <w:rFonts w:ascii="Century Gothic" w:hAnsi="Century Gothic"/>
          <w:b/>
          <w:bCs/>
          <w:color w:val="595959" w:themeColor="text1" w:themeTint="A6"/>
          <w:sz w:val="21"/>
          <w:szCs w:val="21"/>
        </w:rPr>
      </w:pPr>
    </w:p>
    <w:p w14:paraId="7CD5E50B" w14:textId="7DDAD505" w:rsidR="00646F55" w:rsidRPr="00BA26E3" w:rsidRDefault="004954D6" w:rsidP="00646F55">
      <w:pPr>
        <w:jc w:val="both"/>
        <w:rPr>
          <w:rFonts w:ascii="Century Gothic" w:hAnsi="Century Gothic" w:cs="Times New Roman"/>
          <w:sz w:val="21"/>
          <w:szCs w:val="21"/>
          <w:lang w:val="es-ES_tradnl" w:eastAsia="es-ES_tradnl"/>
        </w:rPr>
      </w:pPr>
      <w:r>
        <w:rPr>
          <w:rFonts w:ascii="Century Gothic" w:hAnsi="Century Gothic" w:cs="Times New Roman"/>
          <w:sz w:val="21"/>
          <w:szCs w:val="21"/>
          <w:lang w:eastAsia="es-ES_tradnl"/>
        </w:rPr>
        <w:t>Un</w:t>
      </w:r>
      <w:r w:rsidR="00646F55" w:rsidRPr="00BA26E3">
        <w:rPr>
          <w:rFonts w:ascii="Century Gothic" w:hAnsi="Century Gothic" w:cs="Times New Roman"/>
          <w:sz w:val="21"/>
          <w:szCs w:val="21"/>
          <w:lang w:val="es-ES_tradnl" w:eastAsia="es-ES_tradnl"/>
        </w:rPr>
        <w:t xml:space="preserve"> aspecto importante que marca la </w:t>
      </w:r>
      <w:r>
        <w:rPr>
          <w:rFonts w:ascii="Century Gothic" w:hAnsi="Century Gothic" w:cs="Times New Roman"/>
          <w:sz w:val="21"/>
          <w:szCs w:val="21"/>
          <w:lang w:val="es-ES_tradnl" w:eastAsia="es-ES_tradnl"/>
        </w:rPr>
        <w:t>disposi</w:t>
      </w:r>
      <w:r w:rsidR="00646F55" w:rsidRPr="00BA26E3">
        <w:rPr>
          <w:rFonts w:ascii="Century Gothic" w:hAnsi="Century Gothic" w:cs="Times New Roman"/>
          <w:sz w:val="21"/>
          <w:szCs w:val="21"/>
          <w:lang w:val="es-ES_tradnl" w:eastAsia="es-ES_tradnl"/>
        </w:rPr>
        <w:t xml:space="preserve">ción ambientalista de </w:t>
      </w:r>
      <w:r w:rsidR="009F202B">
        <w:rPr>
          <w:rFonts w:ascii="Century Gothic" w:hAnsi="Century Gothic" w:cs="Times New Roman"/>
          <w:sz w:val="21"/>
          <w:szCs w:val="21"/>
          <w:lang w:val="es-ES_tradnl" w:eastAsia="es-ES_tradnl"/>
        </w:rPr>
        <w:t>l</w:t>
      </w:r>
      <w:r w:rsidR="00646F55" w:rsidRPr="00BA26E3">
        <w:rPr>
          <w:rFonts w:ascii="Century Gothic" w:hAnsi="Century Gothic" w:cs="Times New Roman"/>
          <w:sz w:val="21"/>
          <w:szCs w:val="21"/>
          <w:lang w:val="es-ES_tradnl" w:eastAsia="es-ES_tradnl"/>
        </w:rPr>
        <w:t xml:space="preserve">as empresas ecuatorianas es el nivel de gastos corrientes en actividades de protección ambiental y gestión de recursos naturales, así como la proporción de empresas que realizan este tipo de actividades en pro del ambiente. En la Figura </w:t>
      </w:r>
      <w:r>
        <w:rPr>
          <w:rFonts w:ascii="Century Gothic" w:hAnsi="Century Gothic" w:cs="Times New Roman"/>
          <w:sz w:val="21"/>
          <w:szCs w:val="21"/>
          <w:lang w:val="es-ES_tradnl" w:eastAsia="es-ES_tradnl"/>
        </w:rPr>
        <w:t>4</w:t>
      </w:r>
      <w:r w:rsidR="00646F55" w:rsidRPr="00BA26E3">
        <w:rPr>
          <w:rFonts w:ascii="Century Gothic" w:hAnsi="Century Gothic" w:cs="Times New Roman"/>
          <w:sz w:val="21"/>
          <w:szCs w:val="21"/>
          <w:lang w:val="es-ES_tradnl" w:eastAsia="es-ES_tradnl"/>
        </w:rPr>
        <w:t xml:space="preserve"> se muestra esta proporción.</w:t>
      </w:r>
    </w:p>
    <w:p w14:paraId="34C0D2A1" w14:textId="77777777" w:rsidR="00646F55" w:rsidRPr="00BA26E3" w:rsidRDefault="00646F55" w:rsidP="00646F55">
      <w:pPr>
        <w:jc w:val="both"/>
        <w:rPr>
          <w:rFonts w:ascii="Century Gothic" w:hAnsi="Century Gothic" w:cs="Times New Roman"/>
          <w:sz w:val="21"/>
          <w:szCs w:val="21"/>
          <w:lang w:val="es-ES_tradnl" w:eastAsia="es-ES_tradnl"/>
        </w:rPr>
      </w:pPr>
    </w:p>
    <w:p w14:paraId="645D393C" w14:textId="04DF515A" w:rsidR="00646F55" w:rsidRPr="00646F55" w:rsidRDefault="0092758E" w:rsidP="00646F55">
      <w:pPr>
        <w:pStyle w:val="Descripcin"/>
        <w:keepNext/>
        <w:jc w:val="both"/>
      </w:pPr>
      <w:bookmarkStart w:id="12" w:name="_Toc132722357"/>
      <w:r w:rsidRPr="00312243">
        <w:rPr>
          <w:rFonts w:cstheme="minorHAnsi"/>
          <w:b/>
          <w:i w:val="0"/>
          <w:iCs w:val="0"/>
          <w:color w:val="auto"/>
          <w:sz w:val="16"/>
          <w:szCs w:val="16"/>
        </w:rPr>
        <w:t xml:space="preserve">Figura </w:t>
      </w:r>
      <w:r w:rsidRPr="00312243">
        <w:rPr>
          <w:rFonts w:cstheme="minorHAnsi"/>
          <w:b/>
          <w:i w:val="0"/>
          <w:iCs w:val="0"/>
          <w:color w:val="auto"/>
          <w:sz w:val="16"/>
          <w:szCs w:val="16"/>
        </w:rPr>
        <w:fldChar w:fldCharType="begin"/>
      </w:r>
      <w:r w:rsidRPr="00312243">
        <w:rPr>
          <w:rFonts w:cstheme="minorHAnsi"/>
          <w:b/>
          <w:i w:val="0"/>
          <w:iCs w:val="0"/>
          <w:color w:val="auto"/>
          <w:sz w:val="16"/>
          <w:szCs w:val="16"/>
        </w:rPr>
        <w:instrText xml:space="preserve"> SEQ Figura \* ARABIC </w:instrText>
      </w:r>
      <w:r w:rsidRPr="00312243">
        <w:rPr>
          <w:rFonts w:cstheme="minorHAnsi"/>
          <w:b/>
          <w:i w:val="0"/>
          <w:iCs w:val="0"/>
          <w:color w:val="auto"/>
          <w:sz w:val="16"/>
          <w:szCs w:val="16"/>
        </w:rPr>
        <w:fldChar w:fldCharType="separate"/>
      </w:r>
      <w:r>
        <w:rPr>
          <w:rFonts w:cstheme="minorHAnsi"/>
          <w:b/>
          <w:i w:val="0"/>
          <w:iCs w:val="0"/>
          <w:noProof/>
          <w:color w:val="auto"/>
          <w:sz w:val="16"/>
          <w:szCs w:val="16"/>
        </w:rPr>
        <w:t>4</w:t>
      </w:r>
      <w:r w:rsidRPr="00312243">
        <w:rPr>
          <w:rFonts w:cstheme="minorHAnsi"/>
          <w:b/>
          <w:i w:val="0"/>
          <w:iCs w:val="0"/>
          <w:color w:val="auto"/>
          <w:sz w:val="16"/>
          <w:szCs w:val="16"/>
        </w:rPr>
        <w:fldChar w:fldCharType="end"/>
      </w:r>
      <w:r w:rsidR="00646F55" w:rsidRPr="00F234E6">
        <w:rPr>
          <w:b/>
          <w:bCs/>
          <w:i w:val="0"/>
          <w:iCs w:val="0"/>
          <w:color w:val="auto"/>
          <w:sz w:val="16"/>
        </w:rPr>
        <w:t>.</w:t>
      </w:r>
      <w:r w:rsidR="00646F55" w:rsidRPr="00F234E6">
        <w:rPr>
          <w:rFonts w:cs="Calibri"/>
          <w:sz w:val="16"/>
        </w:rPr>
        <w:t xml:space="preserve"> </w:t>
      </w:r>
      <w:r w:rsidR="00646F55" w:rsidRPr="00F234E6">
        <w:rPr>
          <w:rFonts w:cs="Calibri"/>
          <w:i w:val="0"/>
          <w:color w:val="auto"/>
          <w:sz w:val="16"/>
        </w:rPr>
        <w:t>Porcentaje de empresas con gastos corrientes ambientales (%), por actividad económica (</w:t>
      </w:r>
      <w:r w:rsidR="003540AD" w:rsidRPr="00F234E6">
        <w:rPr>
          <w:rFonts w:cs="Calibri"/>
          <w:i w:val="0"/>
          <w:color w:val="auto"/>
          <w:sz w:val="16"/>
        </w:rPr>
        <w:t>20</w:t>
      </w:r>
      <w:r w:rsidR="004954D6">
        <w:rPr>
          <w:rFonts w:cs="Calibri"/>
          <w:i w:val="0"/>
          <w:color w:val="auto"/>
          <w:sz w:val="16"/>
        </w:rPr>
        <w:t>20</w:t>
      </w:r>
      <w:r w:rsidR="00646F55" w:rsidRPr="00F234E6">
        <w:rPr>
          <w:rFonts w:cs="Calibri"/>
          <w:i w:val="0"/>
          <w:color w:val="auto"/>
          <w:sz w:val="16"/>
        </w:rPr>
        <w:t>-</w:t>
      </w:r>
      <w:r w:rsidR="003540AD" w:rsidRPr="00F234E6">
        <w:rPr>
          <w:rFonts w:cs="Calibri"/>
          <w:i w:val="0"/>
          <w:color w:val="auto"/>
          <w:sz w:val="16"/>
        </w:rPr>
        <w:t>202</w:t>
      </w:r>
      <w:r w:rsidR="004954D6">
        <w:rPr>
          <w:rFonts w:cs="Calibri"/>
          <w:i w:val="0"/>
          <w:color w:val="auto"/>
          <w:sz w:val="16"/>
        </w:rPr>
        <w:t>1</w:t>
      </w:r>
      <w:r w:rsidR="00646F55" w:rsidRPr="00F234E6">
        <w:rPr>
          <w:rFonts w:cs="Calibri"/>
          <w:i w:val="0"/>
          <w:color w:val="auto"/>
          <w:sz w:val="16"/>
        </w:rPr>
        <w:t>).</w:t>
      </w:r>
      <w:bookmarkEnd w:id="12"/>
    </w:p>
    <w:p w14:paraId="6769AF53" w14:textId="76D9C7D7" w:rsidR="00646F55" w:rsidRPr="00646F55" w:rsidRDefault="009125E3" w:rsidP="00646F55">
      <w:pPr>
        <w:jc w:val="both"/>
        <w:rPr>
          <w:rFonts w:ascii="Century Gothic" w:hAnsi="Century Gothic" w:cs="Times New Roman"/>
          <w:sz w:val="20"/>
          <w:szCs w:val="20"/>
          <w:lang w:val="es-ES_tradnl" w:eastAsia="es-ES_tradnl"/>
        </w:rPr>
      </w:pPr>
      <w:r>
        <w:rPr>
          <w:noProof/>
        </w:rPr>
        <w:drawing>
          <wp:inline distT="0" distB="0" distL="0" distR="0" wp14:anchorId="1BD46C4F" wp14:editId="74FEBC67">
            <wp:extent cx="2473325" cy="2889504"/>
            <wp:effectExtent l="0" t="0" r="3175" b="6350"/>
            <wp:docPr id="8" name="Gráfico 8">
              <a:extLst xmlns:a="http://schemas.openxmlformats.org/drawingml/2006/main">
                <a:ext uri="{FF2B5EF4-FFF2-40B4-BE49-F238E27FC236}">
                  <a16:creationId xmlns:a16="http://schemas.microsoft.com/office/drawing/2014/main" id="{1904EFA7-D7FE-4D8D-A702-DB72C2398BD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C77FF02" w14:textId="77777777" w:rsidR="00646F55" w:rsidRPr="00646F55" w:rsidRDefault="00646F55" w:rsidP="00646F55">
      <w:pPr>
        <w:jc w:val="both"/>
        <w:rPr>
          <w:rFonts w:ascii="Century Gothic" w:hAnsi="Century Gothic" w:cs="Calibri"/>
          <w:b/>
          <w:color w:val="404040" w:themeColor="text1" w:themeTint="BF"/>
          <w:sz w:val="14"/>
          <w:szCs w:val="14"/>
        </w:rPr>
      </w:pPr>
    </w:p>
    <w:p w14:paraId="027ED33C" w14:textId="36AB913F"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Fuente:</w:t>
      </w:r>
      <w:r w:rsidRPr="00646F55">
        <w:rPr>
          <w:rFonts w:ascii="Century Gothic" w:hAnsi="Century Gothic" w:cs="Calibri"/>
          <w:color w:val="404040" w:themeColor="text1" w:themeTint="BF"/>
          <w:sz w:val="14"/>
          <w:szCs w:val="14"/>
        </w:rPr>
        <w:t xml:space="preserve"> Módulo Ambiental </w:t>
      </w:r>
      <w:r w:rsidR="004C1042">
        <w:rPr>
          <w:rFonts w:ascii="Century Gothic" w:hAnsi="Century Gothic" w:cs="Calibri"/>
          <w:color w:val="404040" w:themeColor="text1" w:themeTint="BF"/>
          <w:sz w:val="14"/>
          <w:szCs w:val="14"/>
        </w:rPr>
        <w:t xml:space="preserve">Económica </w:t>
      </w:r>
      <w:r w:rsidRPr="00646F55">
        <w:rPr>
          <w:rFonts w:ascii="Century Gothic" w:hAnsi="Century Gothic" w:cs="Calibri"/>
          <w:color w:val="404040" w:themeColor="text1" w:themeTint="BF"/>
          <w:sz w:val="14"/>
          <w:szCs w:val="14"/>
        </w:rPr>
        <w:t xml:space="preserve">ENESEM </w:t>
      </w:r>
      <w:r w:rsidR="003540AD">
        <w:rPr>
          <w:rFonts w:ascii="Century Gothic" w:hAnsi="Century Gothic" w:cs="Calibri"/>
          <w:color w:val="404040" w:themeColor="text1" w:themeTint="BF"/>
          <w:sz w:val="14"/>
          <w:szCs w:val="14"/>
        </w:rPr>
        <w:t>20</w:t>
      </w:r>
      <w:r w:rsidR="004954D6">
        <w:rPr>
          <w:rFonts w:ascii="Century Gothic" w:hAnsi="Century Gothic" w:cs="Calibri"/>
          <w:color w:val="404040" w:themeColor="text1" w:themeTint="BF"/>
          <w:sz w:val="14"/>
          <w:szCs w:val="14"/>
        </w:rPr>
        <w:t>20</w:t>
      </w:r>
      <w:r w:rsidRPr="00646F55">
        <w:rPr>
          <w:rFonts w:ascii="Century Gothic" w:hAnsi="Century Gothic" w:cs="Calibri"/>
          <w:color w:val="404040" w:themeColor="text1" w:themeTint="BF"/>
          <w:sz w:val="14"/>
          <w:szCs w:val="14"/>
        </w:rPr>
        <w:t>-</w:t>
      </w:r>
      <w:r w:rsidR="003540AD">
        <w:rPr>
          <w:rFonts w:ascii="Century Gothic" w:hAnsi="Century Gothic" w:cs="Calibri"/>
          <w:color w:val="404040" w:themeColor="text1" w:themeTint="BF"/>
          <w:sz w:val="14"/>
          <w:szCs w:val="14"/>
        </w:rPr>
        <w:t>202</w:t>
      </w:r>
      <w:r w:rsidR="004954D6">
        <w:rPr>
          <w:rFonts w:ascii="Century Gothic" w:hAnsi="Century Gothic" w:cs="Calibri"/>
          <w:color w:val="404040" w:themeColor="text1" w:themeTint="BF"/>
          <w:sz w:val="14"/>
          <w:szCs w:val="14"/>
        </w:rPr>
        <w:t>1</w:t>
      </w:r>
      <w:r w:rsidRPr="00646F55">
        <w:rPr>
          <w:rFonts w:ascii="Century Gothic" w:hAnsi="Century Gothic" w:cs="Calibri"/>
          <w:color w:val="404040" w:themeColor="text1" w:themeTint="BF"/>
          <w:sz w:val="14"/>
          <w:szCs w:val="14"/>
        </w:rPr>
        <w:t>.</w:t>
      </w:r>
    </w:p>
    <w:p w14:paraId="5D76E4E7" w14:textId="77777777" w:rsidR="009E3124" w:rsidRDefault="009E3124" w:rsidP="00646F55">
      <w:pPr>
        <w:jc w:val="both"/>
        <w:rPr>
          <w:rFonts w:ascii="Century Gothic" w:hAnsi="Century Gothic" w:cs="Times New Roman"/>
          <w:sz w:val="21"/>
          <w:szCs w:val="21"/>
          <w:lang w:val="es-ES_tradnl" w:eastAsia="es-ES_tradnl"/>
        </w:rPr>
      </w:pPr>
    </w:p>
    <w:p w14:paraId="567A60AA" w14:textId="31ED90B4" w:rsidR="00646F55" w:rsidRPr="00F234E6" w:rsidRDefault="00646F55" w:rsidP="00646F55">
      <w:pPr>
        <w:jc w:val="both"/>
        <w:rPr>
          <w:rFonts w:ascii="Century Gothic" w:hAnsi="Century Gothic" w:cs="Times New Roman"/>
          <w:sz w:val="21"/>
          <w:szCs w:val="21"/>
          <w:lang w:val="es-ES_tradnl" w:eastAsia="es-ES_tradnl"/>
        </w:rPr>
      </w:pPr>
      <w:r w:rsidRPr="00F607D8">
        <w:rPr>
          <w:rFonts w:ascii="Century Gothic" w:hAnsi="Century Gothic" w:cs="Times New Roman"/>
          <w:sz w:val="21"/>
          <w:szCs w:val="21"/>
          <w:lang w:val="es-ES_tradnl" w:eastAsia="es-ES_tradnl"/>
        </w:rPr>
        <w:t xml:space="preserve">A nivel nacional, el </w:t>
      </w:r>
      <w:r w:rsidR="00A544BE" w:rsidRPr="00F607D8">
        <w:rPr>
          <w:rFonts w:ascii="Century Gothic" w:hAnsi="Century Gothic" w:cs="Times New Roman"/>
          <w:sz w:val="21"/>
          <w:szCs w:val="21"/>
          <w:lang w:val="es-ES_tradnl" w:eastAsia="es-ES_tradnl"/>
        </w:rPr>
        <w:t>35</w:t>
      </w:r>
      <w:r w:rsidR="00A352DE" w:rsidRPr="00F607D8">
        <w:rPr>
          <w:rFonts w:ascii="Century Gothic" w:hAnsi="Century Gothic" w:cs="Times New Roman"/>
          <w:sz w:val="21"/>
          <w:szCs w:val="21"/>
          <w:lang w:val="es-ES_tradnl" w:eastAsia="es-ES_tradnl"/>
        </w:rPr>
        <w:t>,</w:t>
      </w:r>
      <w:r w:rsidR="00A544BE" w:rsidRPr="00F607D8">
        <w:rPr>
          <w:rFonts w:ascii="Century Gothic" w:hAnsi="Century Gothic" w:cs="Times New Roman"/>
          <w:sz w:val="21"/>
          <w:szCs w:val="21"/>
          <w:lang w:val="es-ES_tradnl" w:eastAsia="es-ES_tradnl"/>
        </w:rPr>
        <w:t>84</w:t>
      </w:r>
      <w:r w:rsidRPr="00F607D8">
        <w:rPr>
          <w:rFonts w:ascii="Century Gothic" w:hAnsi="Century Gothic" w:cs="Times New Roman"/>
          <w:sz w:val="21"/>
          <w:szCs w:val="21"/>
          <w:lang w:val="es-ES_tradnl" w:eastAsia="es-ES_tradnl"/>
        </w:rPr>
        <w:t>% de empresas tienen gastos corrientes en protección ambiental y gestión de recursos naturales (</w:t>
      </w:r>
      <w:r w:rsidR="00A544BE" w:rsidRPr="00F607D8">
        <w:rPr>
          <w:rFonts w:ascii="Century Gothic" w:hAnsi="Century Gothic" w:cs="Times New Roman"/>
          <w:sz w:val="21"/>
          <w:szCs w:val="21"/>
          <w:lang w:val="es-ES_tradnl" w:eastAsia="es-ES_tradnl"/>
        </w:rPr>
        <w:t>-11</w:t>
      </w:r>
      <w:r w:rsidR="00A352DE" w:rsidRPr="00F607D8">
        <w:rPr>
          <w:rFonts w:ascii="Century Gothic" w:hAnsi="Century Gothic" w:cs="Times New Roman"/>
          <w:sz w:val="21"/>
          <w:szCs w:val="21"/>
          <w:lang w:val="es-ES_tradnl" w:eastAsia="es-ES_tradnl"/>
        </w:rPr>
        <w:t>,</w:t>
      </w:r>
      <w:r w:rsidR="00A544BE" w:rsidRPr="00F607D8">
        <w:rPr>
          <w:rFonts w:ascii="Century Gothic" w:hAnsi="Century Gothic" w:cs="Times New Roman"/>
          <w:sz w:val="21"/>
          <w:szCs w:val="21"/>
          <w:lang w:val="es-ES_tradnl" w:eastAsia="es-ES_tradnl"/>
        </w:rPr>
        <w:t>75</w:t>
      </w:r>
      <w:r w:rsidRPr="00F607D8">
        <w:rPr>
          <w:rFonts w:ascii="Century Gothic" w:hAnsi="Century Gothic" w:cs="Times New Roman"/>
          <w:sz w:val="21"/>
          <w:szCs w:val="21"/>
          <w:lang w:val="es-ES_tradnl" w:eastAsia="es-ES_tradnl"/>
        </w:rPr>
        <w:t xml:space="preserve">% respecto al año </w:t>
      </w:r>
      <w:r w:rsidR="003540AD" w:rsidRPr="00F607D8">
        <w:rPr>
          <w:rFonts w:ascii="Century Gothic" w:hAnsi="Century Gothic" w:cs="Times New Roman"/>
          <w:sz w:val="21"/>
          <w:szCs w:val="21"/>
          <w:lang w:val="es-ES_tradnl" w:eastAsia="es-ES_tradnl"/>
        </w:rPr>
        <w:t>20</w:t>
      </w:r>
      <w:r w:rsidR="00A544BE" w:rsidRPr="00F607D8">
        <w:rPr>
          <w:rFonts w:ascii="Century Gothic" w:hAnsi="Century Gothic" w:cs="Times New Roman"/>
          <w:sz w:val="21"/>
          <w:szCs w:val="21"/>
          <w:lang w:val="es-ES_tradnl" w:eastAsia="es-ES_tradnl"/>
        </w:rPr>
        <w:t>20</w:t>
      </w:r>
      <w:r w:rsidRPr="00F607D8">
        <w:rPr>
          <w:rFonts w:ascii="Century Gothic" w:hAnsi="Century Gothic" w:cs="Times New Roman"/>
          <w:sz w:val="21"/>
          <w:szCs w:val="21"/>
          <w:lang w:val="es-ES_tradnl" w:eastAsia="es-ES_tradnl"/>
        </w:rPr>
        <w:t>). Los sectores que tienen las mayores proporciones de empresas que realizan gastos corrientes ambientales son:</w:t>
      </w:r>
      <w:r w:rsidR="0062277C" w:rsidRPr="00F607D8">
        <w:rPr>
          <w:rFonts w:ascii="Century Gothic" w:hAnsi="Century Gothic" w:cs="Times New Roman"/>
          <w:sz w:val="21"/>
          <w:szCs w:val="21"/>
          <w:lang w:val="es-ES_tradnl" w:eastAsia="es-ES_tradnl"/>
        </w:rPr>
        <w:t xml:space="preserve"> </w:t>
      </w:r>
      <w:r w:rsidRPr="00F607D8">
        <w:rPr>
          <w:rFonts w:ascii="Century Gothic" w:hAnsi="Century Gothic" w:cs="Times New Roman"/>
          <w:i/>
          <w:sz w:val="21"/>
          <w:szCs w:val="21"/>
          <w:lang w:val="es-ES_tradnl" w:eastAsia="es-ES_tradnl"/>
        </w:rPr>
        <w:t>Distribución de agua, alcantarillado, gestión de desechos y saneamiento</w:t>
      </w:r>
      <w:r w:rsidRPr="00F607D8">
        <w:rPr>
          <w:rFonts w:ascii="Century Gothic" w:hAnsi="Century Gothic" w:cs="Times New Roman"/>
          <w:sz w:val="21"/>
          <w:szCs w:val="21"/>
          <w:lang w:val="es-ES_tradnl" w:eastAsia="es-ES_tradnl"/>
        </w:rPr>
        <w:t xml:space="preserve"> (</w:t>
      </w:r>
      <w:r w:rsidR="007D6DB0" w:rsidRPr="00F607D8">
        <w:rPr>
          <w:rFonts w:ascii="Century Gothic" w:hAnsi="Century Gothic" w:cs="Times New Roman"/>
          <w:sz w:val="21"/>
          <w:szCs w:val="21"/>
          <w:lang w:val="es-ES_tradnl" w:eastAsia="es-ES_tradnl"/>
        </w:rPr>
        <w:t>91</w:t>
      </w:r>
      <w:r w:rsidR="00A352DE" w:rsidRPr="00F607D8">
        <w:rPr>
          <w:rFonts w:ascii="Century Gothic" w:hAnsi="Century Gothic" w:cs="Times New Roman"/>
          <w:sz w:val="21"/>
          <w:szCs w:val="21"/>
          <w:lang w:val="es-ES_tradnl" w:eastAsia="es-ES_tradnl"/>
        </w:rPr>
        <w:t>,</w:t>
      </w:r>
      <w:r w:rsidR="007D6DB0" w:rsidRPr="00F607D8">
        <w:rPr>
          <w:rFonts w:ascii="Century Gothic" w:hAnsi="Century Gothic" w:cs="Times New Roman"/>
          <w:sz w:val="21"/>
          <w:szCs w:val="21"/>
          <w:lang w:val="es-ES_tradnl" w:eastAsia="es-ES_tradnl"/>
        </w:rPr>
        <w:t>52</w:t>
      </w:r>
      <w:r w:rsidRPr="00F607D8">
        <w:rPr>
          <w:rFonts w:ascii="Century Gothic" w:hAnsi="Century Gothic" w:cs="Times New Roman"/>
          <w:sz w:val="21"/>
          <w:szCs w:val="21"/>
          <w:lang w:val="es-ES_tradnl" w:eastAsia="es-ES_tradnl"/>
        </w:rPr>
        <w:t>%)</w:t>
      </w:r>
      <w:r w:rsidR="007D6DB0" w:rsidRPr="00F607D8">
        <w:rPr>
          <w:rFonts w:ascii="Century Gothic" w:hAnsi="Century Gothic" w:cs="Times New Roman"/>
          <w:sz w:val="21"/>
          <w:szCs w:val="21"/>
          <w:lang w:val="es-ES_tradnl" w:eastAsia="es-ES_tradnl"/>
        </w:rPr>
        <w:t>;</w:t>
      </w:r>
      <w:r w:rsidR="007D6DB0" w:rsidRPr="00F607D8">
        <w:rPr>
          <w:rFonts w:ascii="Century Gothic" w:hAnsi="Century Gothic" w:cs="Times New Roman"/>
          <w:i/>
          <w:iCs/>
          <w:sz w:val="21"/>
          <w:szCs w:val="21"/>
          <w:lang w:val="es-ES_tradnl" w:eastAsia="es-ES_tradnl"/>
        </w:rPr>
        <w:t xml:space="preserve"> Explotación de minas y canteras</w:t>
      </w:r>
      <w:r w:rsidR="007D6DB0" w:rsidRPr="00F607D8">
        <w:rPr>
          <w:rFonts w:ascii="Century Gothic" w:hAnsi="Century Gothic" w:cs="Times New Roman"/>
          <w:sz w:val="21"/>
          <w:szCs w:val="21"/>
          <w:lang w:val="es-ES_tradnl" w:eastAsia="es-ES_tradnl"/>
        </w:rPr>
        <w:t xml:space="preserve"> (85,10%); </w:t>
      </w:r>
      <w:r w:rsidR="007D6DB0" w:rsidRPr="00F607D8">
        <w:rPr>
          <w:rFonts w:ascii="Century Gothic" w:hAnsi="Century Gothic" w:cs="Times New Roman"/>
          <w:i/>
          <w:sz w:val="21"/>
          <w:szCs w:val="21"/>
          <w:lang w:val="es-ES_tradnl" w:eastAsia="es-ES_tradnl"/>
        </w:rPr>
        <w:t>Atención a la salud humana</w:t>
      </w:r>
      <w:r w:rsidR="007D6DB0" w:rsidRPr="00F607D8">
        <w:rPr>
          <w:rFonts w:ascii="Century Gothic" w:hAnsi="Century Gothic" w:cs="Times New Roman"/>
          <w:sz w:val="21"/>
          <w:szCs w:val="21"/>
          <w:lang w:val="es-ES_tradnl" w:eastAsia="es-ES_tradnl"/>
        </w:rPr>
        <w:t xml:space="preserve"> (84,16%); </w:t>
      </w:r>
      <w:r w:rsidRPr="00F607D8">
        <w:rPr>
          <w:rFonts w:ascii="Century Gothic" w:hAnsi="Century Gothic" w:cs="Times New Roman"/>
          <w:sz w:val="21"/>
          <w:szCs w:val="21"/>
          <w:lang w:val="es-ES_tradnl" w:eastAsia="es-ES_tradnl"/>
        </w:rPr>
        <w:t xml:space="preserve">y </w:t>
      </w:r>
      <w:r w:rsidR="007D6DB0" w:rsidRPr="00F607D8">
        <w:rPr>
          <w:rFonts w:ascii="Century Gothic" w:hAnsi="Century Gothic" w:cs="Times New Roman"/>
          <w:i/>
          <w:iCs/>
          <w:sz w:val="21"/>
          <w:szCs w:val="21"/>
          <w:lang w:val="es-ES_tradnl" w:eastAsia="es-ES_tradnl"/>
        </w:rPr>
        <w:t>Suministro de electricidad, gas, vapor y aire acondicionado</w:t>
      </w:r>
      <w:r w:rsidRPr="00F607D8">
        <w:rPr>
          <w:rFonts w:ascii="Century Gothic" w:hAnsi="Century Gothic" w:cs="Times New Roman"/>
          <w:sz w:val="21"/>
          <w:szCs w:val="21"/>
          <w:lang w:val="es-ES_tradnl" w:eastAsia="es-ES_tradnl"/>
        </w:rPr>
        <w:t xml:space="preserve"> (8</w:t>
      </w:r>
      <w:r w:rsidR="007D6DB0" w:rsidRPr="00F607D8">
        <w:rPr>
          <w:rFonts w:ascii="Century Gothic" w:hAnsi="Century Gothic" w:cs="Times New Roman"/>
          <w:sz w:val="21"/>
          <w:szCs w:val="21"/>
          <w:lang w:val="es-ES_tradnl" w:eastAsia="es-ES_tradnl"/>
        </w:rPr>
        <w:t>3</w:t>
      </w:r>
      <w:r w:rsidR="00A352DE" w:rsidRPr="00F607D8">
        <w:rPr>
          <w:rFonts w:ascii="Century Gothic" w:hAnsi="Century Gothic" w:cs="Times New Roman"/>
          <w:sz w:val="21"/>
          <w:szCs w:val="21"/>
          <w:lang w:val="es-ES_tradnl" w:eastAsia="es-ES_tradnl"/>
        </w:rPr>
        <w:t>,</w:t>
      </w:r>
      <w:r w:rsidR="007D6DB0" w:rsidRPr="00F607D8">
        <w:rPr>
          <w:rFonts w:ascii="Century Gothic" w:hAnsi="Century Gothic" w:cs="Times New Roman"/>
          <w:sz w:val="21"/>
          <w:szCs w:val="21"/>
          <w:lang w:val="es-ES_tradnl" w:eastAsia="es-ES_tradnl"/>
        </w:rPr>
        <w:t>43</w:t>
      </w:r>
      <w:r w:rsidRPr="00F607D8">
        <w:rPr>
          <w:rFonts w:ascii="Century Gothic" w:hAnsi="Century Gothic" w:cs="Times New Roman"/>
          <w:sz w:val="21"/>
          <w:szCs w:val="21"/>
          <w:lang w:val="es-ES_tradnl" w:eastAsia="es-ES_tradnl"/>
        </w:rPr>
        <w:t>%).</w:t>
      </w:r>
    </w:p>
    <w:p w14:paraId="0817F499" w14:textId="747FD649" w:rsidR="00646F55" w:rsidRPr="00F234E6" w:rsidRDefault="00646F55" w:rsidP="00646F55">
      <w:pPr>
        <w:jc w:val="both"/>
        <w:rPr>
          <w:rFonts w:ascii="Century Gothic" w:hAnsi="Century Gothic" w:cs="Times New Roman"/>
          <w:sz w:val="21"/>
          <w:szCs w:val="21"/>
          <w:lang w:val="es-ES_tradnl" w:eastAsia="es-ES_tradnl"/>
        </w:rPr>
      </w:pPr>
      <w:r w:rsidRPr="00BF5FB2">
        <w:rPr>
          <w:rFonts w:ascii="Century Gothic" w:hAnsi="Century Gothic" w:cs="Times New Roman"/>
          <w:sz w:val="21"/>
          <w:szCs w:val="21"/>
          <w:lang w:val="es-ES_tradnl" w:eastAsia="es-ES_tradnl"/>
        </w:rPr>
        <w:lastRenderedPageBreak/>
        <w:t xml:space="preserve">Respecto al gasto corriente ambiental total nacional, su valor del año </w:t>
      </w:r>
      <w:r w:rsidR="003540AD" w:rsidRPr="00BF5FB2">
        <w:rPr>
          <w:rFonts w:ascii="Century Gothic" w:hAnsi="Century Gothic" w:cs="Times New Roman"/>
          <w:sz w:val="21"/>
          <w:szCs w:val="21"/>
          <w:lang w:val="es-ES_tradnl" w:eastAsia="es-ES_tradnl"/>
        </w:rPr>
        <w:t>2020</w:t>
      </w:r>
      <w:r w:rsidRPr="00BF5FB2">
        <w:rPr>
          <w:rFonts w:ascii="Century Gothic" w:hAnsi="Century Gothic" w:cs="Times New Roman"/>
          <w:sz w:val="21"/>
          <w:szCs w:val="21"/>
          <w:lang w:val="es-ES_tradnl" w:eastAsia="es-ES_tradnl"/>
        </w:rPr>
        <w:t xml:space="preserve"> es de $</w:t>
      </w:r>
      <w:r w:rsidR="0052407F" w:rsidRPr="00BF5FB2">
        <w:rPr>
          <w:rFonts w:ascii="Century Gothic" w:hAnsi="Century Gothic" w:cs="Times New Roman"/>
          <w:sz w:val="21"/>
          <w:szCs w:val="21"/>
          <w:lang w:val="es-ES_tradnl" w:eastAsia="es-ES_tradnl"/>
        </w:rPr>
        <w:t>224.630.586</w:t>
      </w:r>
      <w:r w:rsidRPr="00BF5FB2">
        <w:rPr>
          <w:rFonts w:ascii="Century Gothic" w:hAnsi="Century Gothic" w:cs="Times New Roman"/>
          <w:sz w:val="21"/>
          <w:szCs w:val="21"/>
          <w:lang w:val="es-ES_tradnl" w:eastAsia="es-ES_tradnl"/>
        </w:rPr>
        <w:t xml:space="preserve"> (</w:t>
      </w:r>
      <w:r w:rsidR="0052407F" w:rsidRPr="00BF5FB2">
        <w:rPr>
          <w:rFonts w:ascii="Century Gothic" w:hAnsi="Century Gothic" w:cs="Times New Roman"/>
          <w:sz w:val="21"/>
          <w:szCs w:val="21"/>
          <w:lang w:val="es-ES_tradnl" w:eastAsia="es-ES_tradnl"/>
        </w:rPr>
        <w:t>+29</w:t>
      </w:r>
      <w:r w:rsidR="004C1042" w:rsidRPr="00BF5FB2">
        <w:rPr>
          <w:rFonts w:ascii="Century Gothic" w:hAnsi="Century Gothic" w:cs="Times New Roman"/>
          <w:sz w:val="21"/>
          <w:szCs w:val="21"/>
          <w:lang w:val="es-ES_tradnl" w:eastAsia="es-ES_tradnl"/>
        </w:rPr>
        <w:t>,</w:t>
      </w:r>
      <w:r w:rsidR="0052407F" w:rsidRPr="00BF5FB2">
        <w:rPr>
          <w:rFonts w:ascii="Century Gothic" w:hAnsi="Century Gothic" w:cs="Times New Roman"/>
          <w:sz w:val="21"/>
          <w:szCs w:val="21"/>
          <w:lang w:val="es-ES_tradnl" w:eastAsia="es-ES_tradnl"/>
        </w:rPr>
        <w:t>59</w:t>
      </w:r>
      <w:r w:rsidRPr="00BF5FB2">
        <w:rPr>
          <w:rFonts w:ascii="Century Gothic" w:hAnsi="Century Gothic" w:cs="Times New Roman"/>
          <w:sz w:val="21"/>
          <w:szCs w:val="21"/>
          <w:lang w:val="es-ES_tradnl" w:eastAsia="es-ES_tradnl"/>
        </w:rPr>
        <w:t xml:space="preserve">% con respecto al año </w:t>
      </w:r>
      <w:r w:rsidR="003540AD" w:rsidRPr="00BF5FB2">
        <w:rPr>
          <w:rFonts w:ascii="Century Gothic" w:hAnsi="Century Gothic" w:cs="Times New Roman"/>
          <w:sz w:val="21"/>
          <w:szCs w:val="21"/>
          <w:lang w:val="es-ES_tradnl" w:eastAsia="es-ES_tradnl"/>
        </w:rPr>
        <w:t>20</w:t>
      </w:r>
      <w:r w:rsidR="0052407F" w:rsidRPr="00BF5FB2">
        <w:rPr>
          <w:rFonts w:ascii="Century Gothic" w:hAnsi="Century Gothic" w:cs="Times New Roman"/>
          <w:sz w:val="21"/>
          <w:szCs w:val="21"/>
          <w:lang w:val="es-ES_tradnl" w:eastAsia="es-ES_tradnl"/>
        </w:rPr>
        <w:t>20</w:t>
      </w:r>
      <w:r w:rsidRPr="00BF5FB2">
        <w:rPr>
          <w:rFonts w:ascii="Century Gothic" w:hAnsi="Century Gothic" w:cs="Times New Roman"/>
          <w:sz w:val="21"/>
          <w:szCs w:val="21"/>
          <w:lang w:val="es-ES_tradnl" w:eastAsia="es-ES_tradnl"/>
        </w:rPr>
        <w:t>). As</w:t>
      </w:r>
      <w:r w:rsidR="006B5041" w:rsidRPr="00BF5FB2">
        <w:rPr>
          <w:rFonts w:ascii="Century Gothic" w:hAnsi="Century Gothic" w:cs="Times New Roman"/>
          <w:sz w:val="21"/>
          <w:szCs w:val="21"/>
          <w:lang w:val="es-ES_tradnl" w:eastAsia="es-ES_tradnl"/>
        </w:rPr>
        <w:t>i</w:t>
      </w:r>
      <w:r w:rsidRPr="00BF5FB2">
        <w:rPr>
          <w:rFonts w:ascii="Century Gothic" w:hAnsi="Century Gothic" w:cs="Times New Roman"/>
          <w:sz w:val="21"/>
          <w:szCs w:val="21"/>
          <w:lang w:val="es-ES_tradnl" w:eastAsia="es-ES_tradnl"/>
        </w:rPr>
        <w:t xml:space="preserve">mismo, el gasto corriente ambiental medio por empresa ha pasado de </w:t>
      </w:r>
      <w:r w:rsidR="00B576C8" w:rsidRPr="00BF5FB2">
        <w:rPr>
          <w:rFonts w:ascii="Century Gothic" w:hAnsi="Century Gothic" w:cs="Times New Roman"/>
          <w:sz w:val="21"/>
          <w:szCs w:val="21"/>
          <w:lang w:val="es-ES_tradnl" w:eastAsia="es-ES_tradnl"/>
        </w:rPr>
        <w:t>$36.194,24</w:t>
      </w:r>
      <w:r w:rsidRPr="00BF5FB2">
        <w:rPr>
          <w:rFonts w:ascii="Century Gothic" w:hAnsi="Century Gothic" w:cs="Times New Roman"/>
          <w:sz w:val="21"/>
          <w:szCs w:val="21"/>
          <w:lang w:val="es-ES_tradnl" w:eastAsia="es-ES_tradnl"/>
        </w:rPr>
        <w:t xml:space="preserve"> por empresa en el año </w:t>
      </w:r>
      <w:r w:rsidR="003540AD" w:rsidRPr="00BF5FB2">
        <w:rPr>
          <w:rFonts w:ascii="Century Gothic" w:hAnsi="Century Gothic" w:cs="Times New Roman"/>
          <w:sz w:val="21"/>
          <w:szCs w:val="21"/>
          <w:lang w:val="es-ES_tradnl" w:eastAsia="es-ES_tradnl"/>
        </w:rPr>
        <w:t>20</w:t>
      </w:r>
      <w:r w:rsidR="00B576C8" w:rsidRPr="00BF5FB2">
        <w:rPr>
          <w:rFonts w:ascii="Century Gothic" w:hAnsi="Century Gothic" w:cs="Times New Roman"/>
          <w:sz w:val="21"/>
          <w:szCs w:val="21"/>
          <w:lang w:val="es-ES_tradnl" w:eastAsia="es-ES_tradnl"/>
        </w:rPr>
        <w:t>20</w:t>
      </w:r>
      <w:r w:rsidRPr="00BF5FB2">
        <w:rPr>
          <w:rFonts w:ascii="Century Gothic" w:hAnsi="Century Gothic" w:cs="Times New Roman"/>
          <w:sz w:val="21"/>
          <w:szCs w:val="21"/>
          <w:lang w:val="es-ES_tradnl" w:eastAsia="es-ES_tradnl"/>
        </w:rPr>
        <w:t xml:space="preserve"> a $</w:t>
      </w:r>
      <w:r w:rsidR="00B576C8" w:rsidRPr="00BF5FB2">
        <w:rPr>
          <w:rFonts w:ascii="Century Gothic" w:hAnsi="Century Gothic" w:cs="Times New Roman"/>
          <w:sz w:val="21"/>
          <w:szCs w:val="21"/>
          <w:lang w:val="es-ES_tradnl" w:eastAsia="es-ES_tradnl"/>
        </w:rPr>
        <w:t>45</w:t>
      </w:r>
      <w:r w:rsidR="004C1042" w:rsidRPr="00BF5FB2">
        <w:rPr>
          <w:rFonts w:ascii="Century Gothic" w:hAnsi="Century Gothic" w:cs="Times New Roman"/>
          <w:sz w:val="21"/>
          <w:szCs w:val="21"/>
          <w:lang w:val="es-ES_tradnl" w:eastAsia="es-ES_tradnl"/>
        </w:rPr>
        <w:t>.</w:t>
      </w:r>
      <w:r w:rsidR="00B576C8" w:rsidRPr="00BF5FB2">
        <w:rPr>
          <w:rFonts w:ascii="Century Gothic" w:hAnsi="Century Gothic" w:cs="Times New Roman"/>
          <w:sz w:val="21"/>
          <w:szCs w:val="21"/>
          <w:lang w:val="es-ES_tradnl" w:eastAsia="es-ES_tradnl"/>
        </w:rPr>
        <w:t>32</w:t>
      </w:r>
      <w:r w:rsidR="004C1042" w:rsidRPr="00BF5FB2">
        <w:rPr>
          <w:rFonts w:ascii="Century Gothic" w:hAnsi="Century Gothic" w:cs="Times New Roman"/>
          <w:sz w:val="21"/>
          <w:szCs w:val="21"/>
          <w:lang w:val="es-ES_tradnl" w:eastAsia="es-ES_tradnl"/>
        </w:rPr>
        <w:t>9,</w:t>
      </w:r>
      <w:r w:rsidR="00F35590" w:rsidRPr="00BF5FB2">
        <w:rPr>
          <w:rFonts w:ascii="Century Gothic" w:hAnsi="Century Gothic" w:cs="Times New Roman"/>
          <w:sz w:val="21"/>
          <w:szCs w:val="21"/>
          <w:lang w:val="es-ES_tradnl" w:eastAsia="es-ES_tradnl"/>
        </w:rPr>
        <w:t>4</w:t>
      </w:r>
      <w:r w:rsidR="00B576C8" w:rsidRPr="00BF5FB2">
        <w:rPr>
          <w:rFonts w:ascii="Century Gothic" w:hAnsi="Century Gothic" w:cs="Times New Roman"/>
          <w:sz w:val="21"/>
          <w:szCs w:val="21"/>
          <w:lang w:val="es-ES_tradnl" w:eastAsia="es-ES_tradnl"/>
        </w:rPr>
        <w:t>8</w:t>
      </w:r>
      <w:r w:rsidR="003D72E7" w:rsidRPr="00BF5FB2">
        <w:rPr>
          <w:rFonts w:ascii="Century Gothic" w:hAnsi="Century Gothic" w:cs="Times New Roman"/>
          <w:sz w:val="21"/>
          <w:szCs w:val="21"/>
          <w:lang w:val="es-ES_tradnl" w:eastAsia="es-ES_tradnl"/>
        </w:rPr>
        <w:t xml:space="preserve"> en el año 202</w:t>
      </w:r>
      <w:r w:rsidR="00B576C8" w:rsidRPr="00BF5FB2">
        <w:rPr>
          <w:rFonts w:ascii="Century Gothic" w:hAnsi="Century Gothic" w:cs="Times New Roman"/>
          <w:sz w:val="21"/>
          <w:szCs w:val="21"/>
          <w:lang w:val="es-ES_tradnl" w:eastAsia="es-ES_tradnl"/>
        </w:rPr>
        <w:t>1</w:t>
      </w:r>
      <w:r w:rsidR="00F35590" w:rsidRPr="00BF5FB2">
        <w:rPr>
          <w:rFonts w:ascii="Century Gothic" w:hAnsi="Century Gothic" w:cs="Times New Roman"/>
          <w:sz w:val="21"/>
          <w:szCs w:val="21"/>
          <w:lang w:val="es-ES_tradnl" w:eastAsia="es-ES_tradnl"/>
        </w:rPr>
        <w:t xml:space="preserve"> </w:t>
      </w:r>
      <w:r w:rsidRPr="00BF5FB2">
        <w:rPr>
          <w:rFonts w:ascii="Century Gothic" w:hAnsi="Century Gothic" w:cs="Times New Roman"/>
          <w:sz w:val="21"/>
          <w:szCs w:val="21"/>
          <w:lang w:val="es-ES_tradnl" w:eastAsia="es-ES_tradnl"/>
        </w:rPr>
        <w:t>(</w:t>
      </w:r>
      <w:r w:rsidR="005829B1" w:rsidRPr="00BF5FB2">
        <w:rPr>
          <w:rFonts w:ascii="Century Gothic" w:hAnsi="Century Gothic" w:cs="Times New Roman"/>
          <w:sz w:val="21"/>
          <w:szCs w:val="21"/>
          <w:lang w:val="es-ES_tradnl" w:eastAsia="es-ES_tradnl"/>
        </w:rPr>
        <w:t>+</w:t>
      </w:r>
      <w:r w:rsidR="00F35590" w:rsidRPr="00BF5FB2">
        <w:rPr>
          <w:rFonts w:ascii="Century Gothic" w:hAnsi="Century Gothic" w:cs="Times New Roman"/>
          <w:sz w:val="21"/>
          <w:szCs w:val="21"/>
          <w:lang w:val="es-ES_tradnl" w:eastAsia="es-ES_tradnl"/>
        </w:rPr>
        <w:t>2</w:t>
      </w:r>
      <w:r w:rsidR="005829B1" w:rsidRPr="00BF5FB2">
        <w:rPr>
          <w:rFonts w:ascii="Century Gothic" w:hAnsi="Century Gothic" w:cs="Times New Roman"/>
          <w:sz w:val="21"/>
          <w:szCs w:val="21"/>
          <w:lang w:val="es-ES_tradnl" w:eastAsia="es-ES_tradnl"/>
        </w:rPr>
        <w:t>9</w:t>
      </w:r>
      <w:r w:rsidR="004C1042" w:rsidRPr="00BF5FB2">
        <w:rPr>
          <w:rFonts w:ascii="Century Gothic" w:hAnsi="Century Gothic" w:cs="Times New Roman"/>
          <w:sz w:val="21"/>
          <w:szCs w:val="21"/>
          <w:lang w:val="es-ES_tradnl" w:eastAsia="es-ES_tradnl"/>
        </w:rPr>
        <w:t>,</w:t>
      </w:r>
      <w:r w:rsidRPr="00BF5FB2">
        <w:rPr>
          <w:rFonts w:ascii="Century Gothic" w:hAnsi="Century Gothic" w:cs="Times New Roman"/>
          <w:sz w:val="21"/>
          <w:szCs w:val="21"/>
          <w:lang w:val="es-ES_tradnl" w:eastAsia="es-ES_tradnl"/>
        </w:rPr>
        <w:t>9</w:t>
      </w:r>
      <w:r w:rsidR="00F35590" w:rsidRPr="00BF5FB2">
        <w:rPr>
          <w:rFonts w:ascii="Century Gothic" w:hAnsi="Century Gothic" w:cs="Times New Roman"/>
          <w:sz w:val="21"/>
          <w:szCs w:val="21"/>
          <w:lang w:val="es-ES_tradnl" w:eastAsia="es-ES_tradnl"/>
        </w:rPr>
        <w:t>8</w:t>
      </w:r>
      <w:r w:rsidRPr="00BF5FB2">
        <w:rPr>
          <w:rFonts w:ascii="Century Gothic" w:hAnsi="Century Gothic" w:cs="Times New Roman"/>
          <w:sz w:val="21"/>
          <w:szCs w:val="21"/>
          <w:lang w:val="es-ES_tradnl" w:eastAsia="es-ES_tradnl"/>
        </w:rPr>
        <w:t>%).</w:t>
      </w:r>
    </w:p>
    <w:p w14:paraId="1A0F33FA" w14:textId="77777777" w:rsidR="00646F55" w:rsidRPr="00F234E6" w:rsidRDefault="00646F55" w:rsidP="00646F55">
      <w:pPr>
        <w:jc w:val="both"/>
        <w:rPr>
          <w:rFonts w:ascii="Century Gothic" w:hAnsi="Century Gothic"/>
          <w:b/>
          <w:bCs/>
          <w:color w:val="595959" w:themeColor="text1" w:themeTint="A6"/>
          <w:sz w:val="21"/>
          <w:szCs w:val="21"/>
          <w:lang w:val="es-ES_tradnl"/>
        </w:rPr>
      </w:pPr>
    </w:p>
    <w:p w14:paraId="5449BF9B" w14:textId="6A3478AC" w:rsidR="00646F55" w:rsidRPr="00646F55" w:rsidRDefault="0092758E" w:rsidP="00646F55">
      <w:pPr>
        <w:pStyle w:val="Descripcin"/>
        <w:keepNext/>
        <w:jc w:val="both"/>
        <w:rPr>
          <w:i w:val="0"/>
        </w:rPr>
      </w:pPr>
      <w:bookmarkStart w:id="13" w:name="_Toc132722358"/>
      <w:r w:rsidRPr="00312243">
        <w:rPr>
          <w:rFonts w:cstheme="minorHAnsi"/>
          <w:b/>
          <w:i w:val="0"/>
          <w:iCs w:val="0"/>
          <w:color w:val="auto"/>
          <w:sz w:val="16"/>
          <w:szCs w:val="16"/>
        </w:rPr>
        <w:t xml:space="preserve">Figura </w:t>
      </w:r>
      <w:r w:rsidRPr="00312243">
        <w:rPr>
          <w:rFonts w:cstheme="minorHAnsi"/>
          <w:b/>
          <w:i w:val="0"/>
          <w:iCs w:val="0"/>
          <w:color w:val="auto"/>
          <w:sz w:val="16"/>
          <w:szCs w:val="16"/>
        </w:rPr>
        <w:fldChar w:fldCharType="begin"/>
      </w:r>
      <w:r w:rsidRPr="00312243">
        <w:rPr>
          <w:rFonts w:cstheme="minorHAnsi"/>
          <w:b/>
          <w:i w:val="0"/>
          <w:iCs w:val="0"/>
          <w:color w:val="auto"/>
          <w:sz w:val="16"/>
          <w:szCs w:val="16"/>
        </w:rPr>
        <w:instrText xml:space="preserve"> SEQ Figura \* ARABIC </w:instrText>
      </w:r>
      <w:r w:rsidRPr="00312243">
        <w:rPr>
          <w:rFonts w:cstheme="minorHAnsi"/>
          <w:b/>
          <w:i w:val="0"/>
          <w:iCs w:val="0"/>
          <w:color w:val="auto"/>
          <w:sz w:val="16"/>
          <w:szCs w:val="16"/>
        </w:rPr>
        <w:fldChar w:fldCharType="separate"/>
      </w:r>
      <w:r>
        <w:rPr>
          <w:rFonts w:cstheme="minorHAnsi"/>
          <w:b/>
          <w:i w:val="0"/>
          <w:iCs w:val="0"/>
          <w:noProof/>
          <w:color w:val="auto"/>
          <w:sz w:val="16"/>
          <w:szCs w:val="16"/>
        </w:rPr>
        <w:t>5</w:t>
      </w:r>
      <w:r w:rsidRPr="00312243">
        <w:rPr>
          <w:rFonts w:cstheme="minorHAnsi"/>
          <w:b/>
          <w:i w:val="0"/>
          <w:iCs w:val="0"/>
          <w:color w:val="auto"/>
          <w:sz w:val="16"/>
          <w:szCs w:val="16"/>
        </w:rPr>
        <w:fldChar w:fldCharType="end"/>
      </w:r>
      <w:r w:rsidR="00646F55" w:rsidRPr="00F234E6">
        <w:rPr>
          <w:b/>
          <w:bCs/>
          <w:i w:val="0"/>
          <w:iCs w:val="0"/>
          <w:color w:val="auto"/>
          <w:sz w:val="16"/>
        </w:rPr>
        <w:t>.</w:t>
      </w:r>
      <w:r w:rsidR="00646F55" w:rsidRPr="00F234E6">
        <w:t xml:space="preserve"> </w:t>
      </w:r>
      <w:r w:rsidR="00646F55" w:rsidRPr="00F234E6">
        <w:rPr>
          <w:rFonts w:cs="Calibri"/>
          <w:i w:val="0"/>
          <w:color w:val="auto"/>
          <w:sz w:val="16"/>
        </w:rPr>
        <w:t xml:space="preserve">Gasto corriente ambiental medio (US$ corrientes </w:t>
      </w:r>
      <w:r w:rsidR="003540AD" w:rsidRPr="00F234E6">
        <w:rPr>
          <w:rFonts w:cs="Calibri"/>
          <w:i w:val="0"/>
          <w:color w:val="auto"/>
          <w:sz w:val="16"/>
        </w:rPr>
        <w:t>202</w:t>
      </w:r>
      <w:r w:rsidR="008F18BF">
        <w:rPr>
          <w:rFonts w:cs="Calibri"/>
          <w:i w:val="0"/>
          <w:color w:val="auto"/>
          <w:sz w:val="16"/>
        </w:rPr>
        <w:t>1</w:t>
      </w:r>
      <w:r w:rsidR="00646F55" w:rsidRPr="00F234E6">
        <w:rPr>
          <w:rFonts w:cs="Calibri"/>
          <w:i w:val="0"/>
          <w:color w:val="auto"/>
          <w:sz w:val="16"/>
        </w:rPr>
        <w:t>) por empresa, según actividad económica (</w:t>
      </w:r>
      <w:r w:rsidR="003540AD" w:rsidRPr="00F234E6">
        <w:rPr>
          <w:rFonts w:cs="Calibri"/>
          <w:i w:val="0"/>
          <w:color w:val="auto"/>
          <w:sz w:val="16"/>
        </w:rPr>
        <w:t>20</w:t>
      </w:r>
      <w:r w:rsidR="008F18BF">
        <w:rPr>
          <w:rFonts w:cs="Calibri"/>
          <w:i w:val="0"/>
          <w:color w:val="auto"/>
          <w:sz w:val="16"/>
        </w:rPr>
        <w:t>20</w:t>
      </w:r>
      <w:r w:rsidR="00646F55" w:rsidRPr="00F234E6">
        <w:rPr>
          <w:rFonts w:cs="Calibri"/>
          <w:i w:val="0"/>
          <w:color w:val="auto"/>
          <w:sz w:val="16"/>
        </w:rPr>
        <w:t>-</w:t>
      </w:r>
      <w:r w:rsidR="003540AD" w:rsidRPr="00F234E6">
        <w:rPr>
          <w:rFonts w:cs="Calibri"/>
          <w:i w:val="0"/>
          <w:color w:val="auto"/>
          <w:sz w:val="16"/>
        </w:rPr>
        <w:t>202</w:t>
      </w:r>
      <w:r w:rsidR="008F18BF">
        <w:rPr>
          <w:rFonts w:cs="Calibri"/>
          <w:i w:val="0"/>
          <w:color w:val="auto"/>
          <w:sz w:val="16"/>
        </w:rPr>
        <w:t>1</w:t>
      </w:r>
      <w:r w:rsidR="00646F55" w:rsidRPr="00F234E6">
        <w:rPr>
          <w:rFonts w:cs="Calibri"/>
          <w:i w:val="0"/>
          <w:color w:val="auto"/>
          <w:sz w:val="16"/>
        </w:rPr>
        <w:t>).</w:t>
      </w:r>
      <w:bookmarkEnd w:id="13"/>
    </w:p>
    <w:p w14:paraId="2C488995" w14:textId="227F7062" w:rsidR="00646F55" w:rsidRPr="00646F55" w:rsidRDefault="00EB1B1F" w:rsidP="00646F55">
      <w:pPr>
        <w:jc w:val="both"/>
        <w:rPr>
          <w:rFonts w:ascii="Century Gothic" w:hAnsi="Century Gothic" w:cs="Times New Roman"/>
          <w:sz w:val="20"/>
          <w:szCs w:val="20"/>
          <w:lang w:val="es-ES_tradnl" w:eastAsia="es-ES_tradnl"/>
        </w:rPr>
      </w:pPr>
      <w:r>
        <w:rPr>
          <w:noProof/>
        </w:rPr>
        <w:drawing>
          <wp:inline distT="0" distB="0" distL="0" distR="0" wp14:anchorId="0E071CF9" wp14:editId="1FDCB3FA">
            <wp:extent cx="2473325" cy="3218688"/>
            <wp:effectExtent l="0" t="0" r="3175" b="1270"/>
            <wp:docPr id="12" name="Gráfico 12">
              <a:extLst xmlns:a="http://schemas.openxmlformats.org/drawingml/2006/main">
                <a:ext uri="{FF2B5EF4-FFF2-40B4-BE49-F238E27FC236}">
                  <a16:creationId xmlns:a16="http://schemas.microsoft.com/office/drawing/2014/main" id="{37972FEC-12BB-49C9-B225-F70BB8610B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5D2DEA9" w14:textId="77777777" w:rsidR="00646F55" w:rsidRPr="00646F55" w:rsidRDefault="00646F55" w:rsidP="00646F55">
      <w:pPr>
        <w:jc w:val="both"/>
        <w:rPr>
          <w:rFonts w:ascii="Century Gothic" w:hAnsi="Century Gothic" w:cs="Calibri"/>
          <w:b/>
          <w:color w:val="404040" w:themeColor="text1" w:themeTint="BF"/>
          <w:sz w:val="14"/>
          <w:szCs w:val="14"/>
        </w:rPr>
      </w:pPr>
    </w:p>
    <w:p w14:paraId="35B4E8D0" w14:textId="4BF7A227"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Fuente:</w:t>
      </w:r>
      <w:r w:rsidRPr="00646F55">
        <w:rPr>
          <w:rFonts w:ascii="Century Gothic" w:hAnsi="Century Gothic" w:cs="Calibri"/>
          <w:color w:val="404040" w:themeColor="text1" w:themeTint="BF"/>
          <w:sz w:val="14"/>
          <w:szCs w:val="14"/>
        </w:rPr>
        <w:t xml:space="preserve"> Módulo Ambiental </w:t>
      </w:r>
      <w:r w:rsidR="004C1042">
        <w:rPr>
          <w:rFonts w:ascii="Century Gothic" w:hAnsi="Century Gothic" w:cs="Calibri"/>
          <w:color w:val="404040" w:themeColor="text1" w:themeTint="BF"/>
          <w:sz w:val="14"/>
          <w:szCs w:val="14"/>
        </w:rPr>
        <w:t xml:space="preserve">Económica </w:t>
      </w:r>
      <w:r w:rsidRPr="00646F55">
        <w:rPr>
          <w:rFonts w:ascii="Century Gothic" w:hAnsi="Century Gothic" w:cs="Calibri"/>
          <w:color w:val="404040" w:themeColor="text1" w:themeTint="BF"/>
          <w:sz w:val="14"/>
          <w:szCs w:val="14"/>
        </w:rPr>
        <w:t xml:space="preserve">ENESEM </w:t>
      </w:r>
      <w:r w:rsidR="003540AD">
        <w:rPr>
          <w:rFonts w:ascii="Century Gothic" w:hAnsi="Century Gothic" w:cs="Calibri"/>
          <w:color w:val="404040" w:themeColor="text1" w:themeTint="BF"/>
          <w:sz w:val="14"/>
          <w:szCs w:val="14"/>
        </w:rPr>
        <w:t>20</w:t>
      </w:r>
      <w:r w:rsidR="00EB1B1F">
        <w:rPr>
          <w:rFonts w:ascii="Century Gothic" w:hAnsi="Century Gothic" w:cs="Calibri"/>
          <w:color w:val="404040" w:themeColor="text1" w:themeTint="BF"/>
          <w:sz w:val="14"/>
          <w:szCs w:val="14"/>
        </w:rPr>
        <w:t>20</w:t>
      </w:r>
      <w:r w:rsidRPr="00646F55">
        <w:rPr>
          <w:rFonts w:ascii="Century Gothic" w:hAnsi="Century Gothic" w:cs="Calibri"/>
          <w:color w:val="404040" w:themeColor="text1" w:themeTint="BF"/>
          <w:sz w:val="14"/>
          <w:szCs w:val="14"/>
        </w:rPr>
        <w:t>-</w:t>
      </w:r>
      <w:r w:rsidR="003540AD">
        <w:rPr>
          <w:rFonts w:ascii="Century Gothic" w:hAnsi="Century Gothic" w:cs="Calibri"/>
          <w:color w:val="404040" w:themeColor="text1" w:themeTint="BF"/>
          <w:sz w:val="14"/>
          <w:szCs w:val="14"/>
        </w:rPr>
        <w:t>202</w:t>
      </w:r>
      <w:r w:rsidR="00EB1B1F">
        <w:rPr>
          <w:rFonts w:ascii="Century Gothic" w:hAnsi="Century Gothic" w:cs="Calibri"/>
          <w:color w:val="404040" w:themeColor="text1" w:themeTint="BF"/>
          <w:sz w:val="14"/>
          <w:szCs w:val="14"/>
        </w:rPr>
        <w:t>1</w:t>
      </w:r>
      <w:r w:rsidRPr="00646F55">
        <w:rPr>
          <w:rFonts w:ascii="Century Gothic" w:hAnsi="Century Gothic" w:cs="Calibri"/>
          <w:color w:val="404040" w:themeColor="text1" w:themeTint="BF"/>
          <w:sz w:val="14"/>
          <w:szCs w:val="14"/>
        </w:rPr>
        <w:t>.</w:t>
      </w:r>
    </w:p>
    <w:p w14:paraId="571F1279" w14:textId="77777777" w:rsidR="007A554A" w:rsidRDefault="007A554A" w:rsidP="00646F55">
      <w:pPr>
        <w:jc w:val="both"/>
        <w:rPr>
          <w:rFonts w:ascii="Century Gothic" w:hAnsi="Century Gothic" w:cs="Times New Roman"/>
          <w:sz w:val="21"/>
          <w:szCs w:val="21"/>
          <w:lang w:val="es-ES_tradnl" w:eastAsia="es-ES_tradnl"/>
        </w:rPr>
      </w:pPr>
    </w:p>
    <w:p w14:paraId="00BFEFE3" w14:textId="3FA3B522" w:rsidR="00C862CC" w:rsidRDefault="00646F55" w:rsidP="00646F55">
      <w:pPr>
        <w:jc w:val="both"/>
        <w:rPr>
          <w:rFonts w:ascii="Century Gothic" w:hAnsi="Century Gothic" w:cs="Times New Roman"/>
          <w:sz w:val="21"/>
          <w:szCs w:val="21"/>
          <w:lang w:val="es-ES_tradnl" w:eastAsia="es-ES_tradnl"/>
        </w:rPr>
      </w:pPr>
      <w:r w:rsidRPr="00527B5E">
        <w:rPr>
          <w:rFonts w:ascii="Century Gothic" w:hAnsi="Century Gothic" w:cs="Times New Roman"/>
          <w:sz w:val="21"/>
          <w:szCs w:val="21"/>
          <w:lang w:val="es-ES_tradnl" w:eastAsia="es-ES_tradnl"/>
        </w:rPr>
        <w:t xml:space="preserve">Estas cifras </w:t>
      </w:r>
      <w:r w:rsidR="00C862CC" w:rsidRPr="00527B5E">
        <w:rPr>
          <w:rFonts w:ascii="Century Gothic" w:hAnsi="Century Gothic" w:cs="Times New Roman"/>
          <w:sz w:val="21"/>
          <w:szCs w:val="21"/>
          <w:lang w:val="es-ES_tradnl" w:eastAsia="es-ES_tradnl"/>
        </w:rPr>
        <w:t>nos muestran el efecto de</w:t>
      </w:r>
      <w:r w:rsidR="00366168" w:rsidRPr="00527B5E">
        <w:rPr>
          <w:rFonts w:ascii="Century Gothic" w:hAnsi="Century Gothic" w:cs="Times New Roman"/>
          <w:sz w:val="21"/>
          <w:szCs w:val="21"/>
          <w:lang w:val="es-ES_tradnl" w:eastAsia="es-ES_tradnl"/>
        </w:rPr>
        <w:t xml:space="preserve"> recuperación parcial de la</w:t>
      </w:r>
      <w:r w:rsidR="00C862CC" w:rsidRPr="00527B5E">
        <w:rPr>
          <w:rFonts w:ascii="Century Gothic" w:hAnsi="Century Gothic" w:cs="Times New Roman"/>
          <w:sz w:val="21"/>
          <w:szCs w:val="21"/>
          <w:lang w:val="es-ES_tradnl" w:eastAsia="es-ES_tradnl"/>
        </w:rPr>
        <w:t xml:space="preserve"> </w:t>
      </w:r>
      <w:r w:rsidR="00366168" w:rsidRPr="00527B5E">
        <w:rPr>
          <w:rFonts w:ascii="Century Gothic" w:hAnsi="Century Gothic" w:cs="Times New Roman"/>
          <w:sz w:val="21"/>
          <w:szCs w:val="21"/>
          <w:lang w:val="es-ES_tradnl" w:eastAsia="es-ES_tradnl"/>
        </w:rPr>
        <w:t>ralentización</w:t>
      </w:r>
      <w:r w:rsidR="00C862CC" w:rsidRPr="00527B5E">
        <w:rPr>
          <w:rFonts w:ascii="Century Gothic" w:hAnsi="Century Gothic" w:cs="Times New Roman"/>
          <w:sz w:val="21"/>
          <w:szCs w:val="21"/>
          <w:lang w:val="es-ES_tradnl" w:eastAsia="es-ES_tradnl"/>
        </w:rPr>
        <w:t xml:space="preserve"> de la economía nacional </w:t>
      </w:r>
      <w:r w:rsidR="00366168" w:rsidRPr="00527B5E">
        <w:rPr>
          <w:rFonts w:ascii="Century Gothic" w:hAnsi="Century Gothic" w:cs="Times New Roman"/>
          <w:sz w:val="21"/>
          <w:szCs w:val="21"/>
          <w:lang w:val="es-ES_tradnl" w:eastAsia="es-ES_tradnl"/>
        </w:rPr>
        <w:t>por la pandemia de Covid-19</w:t>
      </w:r>
      <w:r w:rsidR="00C862CC" w:rsidRPr="00527B5E">
        <w:rPr>
          <w:rFonts w:ascii="Century Gothic" w:hAnsi="Century Gothic" w:cs="Times New Roman"/>
          <w:sz w:val="21"/>
          <w:szCs w:val="21"/>
          <w:lang w:val="es-ES_tradnl" w:eastAsia="es-ES_tradnl"/>
        </w:rPr>
        <w:t xml:space="preserve"> </w:t>
      </w:r>
      <w:r w:rsidR="00366168" w:rsidRPr="00527B5E">
        <w:rPr>
          <w:rFonts w:ascii="Century Gothic" w:hAnsi="Century Gothic" w:cs="Times New Roman"/>
          <w:sz w:val="21"/>
          <w:szCs w:val="21"/>
          <w:lang w:val="es-ES_tradnl" w:eastAsia="es-ES_tradnl"/>
        </w:rPr>
        <w:t xml:space="preserve">del </w:t>
      </w:r>
      <w:r w:rsidR="00C862CC" w:rsidRPr="00527B5E">
        <w:rPr>
          <w:rFonts w:ascii="Century Gothic" w:hAnsi="Century Gothic" w:cs="Times New Roman"/>
          <w:sz w:val="21"/>
          <w:szCs w:val="21"/>
          <w:lang w:val="es-ES_tradnl" w:eastAsia="es-ES_tradnl"/>
        </w:rPr>
        <w:t>año 2020. La mayor</w:t>
      </w:r>
      <w:r w:rsidR="006C5AE6" w:rsidRPr="00527B5E">
        <w:rPr>
          <w:rFonts w:ascii="Century Gothic" w:hAnsi="Century Gothic" w:cs="Times New Roman"/>
          <w:sz w:val="21"/>
          <w:szCs w:val="21"/>
          <w:lang w:val="es-ES_tradnl" w:eastAsia="es-ES_tradnl"/>
        </w:rPr>
        <w:t xml:space="preserve"> parte</w:t>
      </w:r>
      <w:r w:rsidR="00C862CC" w:rsidRPr="00527B5E">
        <w:rPr>
          <w:rFonts w:ascii="Century Gothic" w:hAnsi="Century Gothic" w:cs="Times New Roman"/>
          <w:sz w:val="21"/>
          <w:szCs w:val="21"/>
          <w:lang w:val="es-ES_tradnl" w:eastAsia="es-ES_tradnl"/>
        </w:rPr>
        <w:t xml:space="preserve"> de actividades económicas </w:t>
      </w:r>
      <w:r w:rsidR="00366168" w:rsidRPr="00527B5E">
        <w:rPr>
          <w:rFonts w:ascii="Century Gothic" w:hAnsi="Century Gothic" w:cs="Times New Roman"/>
          <w:sz w:val="21"/>
          <w:szCs w:val="21"/>
          <w:lang w:val="es-ES_tradnl" w:eastAsia="es-ES_tradnl"/>
        </w:rPr>
        <w:t>incrementa</w:t>
      </w:r>
      <w:r w:rsidR="00C862CC" w:rsidRPr="00527B5E">
        <w:rPr>
          <w:rFonts w:ascii="Century Gothic" w:hAnsi="Century Gothic" w:cs="Times New Roman"/>
          <w:sz w:val="21"/>
          <w:szCs w:val="21"/>
          <w:lang w:val="es-ES_tradnl" w:eastAsia="es-ES_tradnl"/>
        </w:rPr>
        <w:t>n su gasto corriente ambiental medio</w:t>
      </w:r>
      <w:r w:rsidR="006C5AE6" w:rsidRPr="00527B5E">
        <w:rPr>
          <w:rFonts w:ascii="Century Gothic" w:hAnsi="Century Gothic" w:cs="Times New Roman"/>
          <w:sz w:val="21"/>
          <w:szCs w:val="21"/>
          <w:lang w:val="es-ES_tradnl" w:eastAsia="es-ES_tradnl"/>
        </w:rPr>
        <w:t xml:space="preserve"> para el año 2021</w:t>
      </w:r>
      <w:r w:rsidR="00366168" w:rsidRPr="00527B5E">
        <w:rPr>
          <w:rFonts w:ascii="Century Gothic" w:hAnsi="Century Gothic" w:cs="Times New Roman"/>
          <w:sz w:val="21"/>
          <w:szCs w:val="21"/>
          <w:lang w:val="es-ES_tradnl" w:eastAsia="es-ES_tradnl"/>
        </w:rPr>
        <w:t xml:space="preserve">, </w:t>
      </w:r>
      <w:r w:rsidR="006C5AE6" w:rsidRPr="00527B5E">
        <w:rPr>
          <w:rFonts w:ascii="Century Gothic" w:hAnsi="Century Gothic" w:cs="Times New Roman"/>
          <w:sz w:val="21"/>
          <w:szCs w:val="21"/>
          <w:lang w:val="es-ES_tradnl" w:eastAsia="es-ES_tradnl"/>
        </w:rPr>
        <w:t>excepto</w:t>
      </w:r>
      <w:r w:rsidR="00366168" w:rsidRPr="00527B5E">
        <w:rPr>
          <w:rFonts w:ascii="Century Gothic" w:hAnsi="Century Gothic" w:cs="Times New Roman"/>
          <w:sz w:val="21"/>
          <w:szCs w:val="21"/>
          <w:lang w:val="es-ES_tradnl" w:eastAsia="es-ES_tradnl"/>
        </w:rPr>
        <w:t xml:space="preserve"> el sector </w:t>
      </w:r>
      <w:r w:rsidR="00366168" w:rsidRPr="00527B5E">
        <w:rPr>
          <w:rFonts w:ascii="Century Gothic" w:hAnsi="Century Gothic" w:cs="Times New Roman"/>
          <w:i/>
          <w:iCs/>
          <w:sz w:val="21"/>
          <w:szCs w:val="21"/>
          <w:lang w:val="es-ES_tradnl" w:eastAsia="es-ES_tradnl"/>
        </w:rPr>
        <w:t>B. Explotación de minas y canteras</w:t>
      </w:r>
      <w:r w:rsidR="00366168" w:rsidRPr="00527B5E">
        <w:rPr>
          <w:rFonts w:ascii="Century Gothic" w:hAnsi="Century Gothic" w:cs="Times New Roman"/>
          <w:sz w:val="21"/>
          <w:szCs w:val="21"/>
          <w:lang w:val="es-ES_tradnl" w:eastAsia="es-ES_tradnl"/>
        </w:rPr>
        <w:t xml:space="preserve"> (-14,49%)</w:t>
      </w:r>
      <w:r w:rsidR="006C5AE6" w:rsidRPr="00527B5E">
        <w:rPr>
          <w:rFonts w:ascii="Century Gothic" w:hAnsi="Century Gothic" w:cs="Times New Roman"/>
          <w:sz w:val="21"/>
          <w:szCs w:val="21"/>
          <w:lang w:val="es-ES_tradnl" w:eastAsia="es-ES_tradnl"/>
        </w:rPr>
        <w:t>. Se recuerda</w:t>
      </w:r>
      <w:r w:rsidR="00C862CC" w:rsidRPr="00527B5E">
        <w:rPr>
          <w:rFonts w:ascii="Century Gothic" w:hAnsi="Century Gothic" w:cs="Times New Roman"/>
          <w:sz w:val="21"/>
          <w:szCs w:val="21"/>
          <w:lang w:val="es-ES_tradnl" w:eastAsia="es-ES_tradnl"/>
        </w:rPr>
        <w:t xml:space="preserve"> </w:t>
      </w:r>
      <w:r w:rsidR="00366168" w:rsidRPr="00527B5E">
        <w:rPr>
          <w:rFonts w:ascii="Century Gothic" w:hAnsi="Century Gothic" w:cs="Times New Roman"/>
          <w:sz w:val="21"/>
          <w:szCs w:val="21"/>
          <w:lang w:val="es-ES_tradnl" w:eastAsia="es-ES_tradnl"/>
        </w:rPr>
        <w:t xml:space="preserve">que </w:t>
      </w:r>
      <w:r w:rsidR="006C5AE6" w:rsidRPr="00527B5E">
        <w:rPr>
          <w:rFonts w:ascii="Century Gothic" w:hAnsi="Century Gothic" w:cs="Times New Roman"/>
          <w:sz w:val="21"/>
          <w:szCs w:val="21"/>
          <w:lang w:val="es-ES_tradnl" w:eastAsia="es-ES_tradnl"/>
        </w:rPr>
        <w:t>éste es</w:t>
      </w:r>
      <w:r w:rsidR="00366168" w:rsidRPr="00527B5E">
        <w:rPr>
          <w:rFonts w:ascii="Century Gothic" w:hAnsi="Century Gothic" w:cs="Times New Roman"/>
          <w:sz w:val="21"/>
          <w:szCs w:val="21"/>
          <w:lang w:val="es-ES_tradnl" w:eastAsia="es-ES_tradnl"/>
        </w:rPr>
        <w:t xml:space="preserve"> el sector de más alto IA mediano, </w:t>
      </w:r>
      <w:r w:rsidR="006C5AE6" w:rsidRPr="00527B5E">
        <w:rPr>
          <w:rFonts w:ascii="Century Gothic" w:hAnsi="Century Gothic" w:cs="Times New Roman"/>
          <w:sz w:val="21"/>
          <w:szCs w:val="21"/>
          <w:lang w:val="es-ES_tradnl" w:eastAsia="es-ES_tradnl"/>
        </w:rPr>
        <w:t>por lo cual</w:t>
      </w:r>
      <w:r w:rsidR="00366168" w:rsidRPr="00527B5E">
        <w:rPr>
          <w:rFonts w:ascii="Century Gothic" w:hAnsi="Century Gothic" w:cs="Times New Roman"/>
          <w:sz w:val="21"/>
          <w:szCs w:val="21"/>
          <w:lang w:val="es-ES_tradnl" w:eastAsia="es-ES_tradnl"/>
        </w:rPr>
        <w:t xml:space="preserve"> </w:t>
      </w:r>
      <w:r w:rsidR="006C5AE6" w:rsidRPr="00527B5E">
        <w:rPr>
          <w:rFonts w:ascii="Century Gothic" w:hAnsi="Century Gothic" w:cs="Times New Roman"/>
          <w:sz w:val="21"/>
          <w:szCs w:val="21"/>
          <w:lang w:val="es-ES_tradnl" w:eastAsia="es-ES_tradnl"/>
        </w:rPr>
        <w:t xml:space="preserve">debería </w:t>
      </w:r>
      <w:r w:rsidR="00366168" w:rsidRPr="00527B5E">
        <w:rPr>
          <w:rFonts w:ascii="Century Gothic" w:hAnsi="Century Gothic" w:cs="Times New Roman"/>
          <w:sz w:val="21"/>
          <w:szCs w:val="21"/>
          <w:lang w:val="es-ES_tradnl" w:eastAsia="es-ES_tradnl"/>
        </w:rPr>
        <w:t>aumentar su gasto corriente ambiental</w:t>
      </w:r>
      <w:r w:rsidR="00C862CC" w:rsidRPr="00527B5E">
        <w:rPr>
          <w:rFonts w:ascii="Century Gothic" w:hAnsi="Century Gothic" w:cs="Times New Roman"/>
          <w:sz w:val="21"/>
          <w:szCs w:val="21"/>
          <w:lang w:val="es-ES_tradnl" w:eastAsia="es-ES_tradnl"/>
        </w:rPr>
        <w:t>.</w:t>
      </w:r>
      <w:r w:rsidR="00366168" w:rsidRPr="00527B5E">
        <w:rPr>
          <w:rFonts w:ascii="Century Gothic" w:hAnsi="Century Gothic" w:cs="Times New Roman"/>
          <w:sz w:val="21"/>
          <w:szCs w:val="21"/>
          <w:lang w:val="es-ES_tradnl" w:eastAsia="es-ES_tradnl"/>
        </w:rPr>
        <w:t xml:space="preserve"> Este hecho es coherente con lo mencionado anteriormente: este sector </w:t>
      </w:r>
      <w:r w:rsidR="00C377B8">
        <w:rPr>
          <w:rFonts w:ascii="Century Gothic" w:hAnsi="Century Gothic" w:cs="Times New Roman"/>
          <w:sz w:val="21"/>
          <w:szCs w:val="21"/>
          <w:lang w:val="es-ES_tradnl" w:eastAsia="es-ES_tradnl"/>
        </w:rPr>
        <w:t xml:space="preserve">también </w:t>
      </w:r>
      <w:r w:rsidR="00366168" w:rsidRPr="00527B5E">
        <w:rPr>
          <w:rFonts w:ascii="Century Gothic" w:hAnsi="Century Gothic" w:cs="Times New Roman"/>
          <w:sz w:val="21"/>
          <w:szCs w:val="21"/>
          <w:lang w:val="es-ES_tradnl" w:eastAsia="es-ES_tradnl"/>
        </w:rPr>
        <w:t xml:space="preserve">redujo su personal ambiental en </w:t>
      </w:r>
      <w:r w:rsidR="00366168" w:rsidRPr="00527B5E">
        <w:rPr>
          <w:rFonts w:ascii="Century Gothic" w:hAnsi="Century Gothic" w:cs="Times New Roman"/>
          <w:sz w:val="21"/>
          <w:szCs w:val="21"/>
          <w:lang w:eastAsia="es-ES_tradnl"/>
        </w:rPr>
        <w:t>36,59% en el año 2021</w:t>
      </w:r>
      <w:r w:rsidR="00C377B8">
        <w:rPr>
          <w:rFonts w:ascii="Century Gothic" w:hAnsi="Century Gothic" w:cs="Times New Roman"/>
          <w:sz w:val="21"/>
          <w:szCs w:val="21"/>
          <w:lang w:eastAsia="es-ES_tradnl"/>
        </w:rPr>
        <w:t>. Todo ello</w:t>
      </w:r>
      <w:r w:rsidR="006C5AE6" w:rsidRPr="00527B5E">
        <w:rPr>
          <w:rFonts w:ascii="Century Gothic" w:hAnsi="Century Gothic" w:cs="Times New Roman"/>
          <w:sz w:val="21"/>
          <w:szCs w:val="21"/>
          <w:lang w:eastAsia="es-ES_tradnl"/>
        </w:rPr>
        <w:t xml:space="preserve"> ratifica al sector como el de mayor IA para el año 2021.</w:t>
      </w:r>
    </w:p>
    <w:p w14:paraId="79FFAEFF" w14:textId="77777777" w:rsidR="00646F55" w:rsidRPr="00646F55" w:rsidRDefault="00646F55" w:rsidP="00646F55">
      <w:pPr>
        <w:pStyle w:val="Ttulo2"/>
        <w:numPr>
          <w:ilvl w:val="0"/>
          <w:numId w:val="12"/>
        </w:numPr>
        <w:rPr>
          <w:rFonts w:ascii="Century Gothic" w:hAnsi="Century Gothic"/>
        </w:rPr>
      </w:pPr>
      <w:bookmarkStart w:id="14" w:name="_Toc132722344"/>
      <w:r w:rsidRPr="00646F55">
        <w:rPr>
          <w:rFonts w:ascii="Century Gothic" w:hAnsi="Century Gothic"/>
          <w:color w:val="767171" w:themeColor="background2" w:themeShade="80"/>
          <w:sz w:val="24"/>
        </w:rPr>
        <w:t>Energía y combustibles</w:t>
      </w:r>
      <w:bookmarkEnd w:id="14"/>
    </w:p>
    <w:p w14:paraId="60E955AF" w14:textId="77777777" w:rsidR="00646F55" w:rsidRPr="00BA55E4" w:rsidRDefault="00646F55" w:rsidP="00646F55">
      <w:pPr>
        <w:jc w:val="both"/>
        <w:rPr>
          <w:rFonts w:ascii="Century Gothic" w:hAnsi="Century Gothic"/>
          <w:b/>
          <w:bCs/>
          <w:color w:val="595959" w:themeColor="text1" w:themeTint="A6"/>
          <w:sz w:val="21"/>
          <w:szCs w:val="21"/>
        </w:rPr>
      </w:pPr>
    </w:p>
    <w:p w14:paraId="72890DE3" w14:textId="41851551" w:rsidR="00646F55" w:rsidRPr="00F234E6" w:rsidRDefault="005D32DB" w:rsidP="00646F55">
      <w:pPr>
        <w:jc w:val="both"/>
        <w:rPr>
          <w:rFonts w:ascii="Century Gothic" w:hAnsi="Century Gothic" w:cs="Times New Roman"/>
          <w:sz w:val="21"/>
          <w:szCs w:val="21"/>
          <w:lang w:val="es-ES_tradnl" w:eastAsia="es-ES_tradnl"/>
        </w:rPr>
      </w:pPr>
      <w:r w:rsidRPr="00C377B8">
        <w:rPr>
          <w:rFonts w:ascii="Century Gothic" w:hAnsi="Century Gothic" w:cs="Times New Roman"/>
          <w:sz w:val="21"/>
          <w:szCs w:val="21"/>
          <w:lang w:val="es-ES_tradnl" w:eastAsia="es-ES_tradnl"/>
        </w:rPr>
        <w:t>Las</w:t>
      </w:r>
      <w:r w:rsidR="00795BF9" w:rsidRPr="00C377B8">
        <w:rPr>
          <w:rFonts w:ascii="Century Gothic" w:hAnsi="Century Gothic" w:cs="Times New Roman"/>
          <w:sz w:val="21"/>
          <w:szCs w:val="21"/>
          <w:lang w:val="es-ES_tradnl" w:eastAsia="es-ES_tradnl"/>
        </w:rPr>
        <w:t xml:space="preserve"> empresas</w:t>
      </w:r>
      <w:r w:rsidR="00646F55" w:rsidRPr="00C377B8">
        <w:rPr>
          <w:rFonts w:ascii="Century Gothic" w:hAnsi="Century Gothic" w:cs="Times New Roman"/>
          <w:sz w:val="21"/>
          <w:szCs w:val="21"/>
          <w:lang w:val="es-ES_tradnl" w:eastAsia="es-ES_tradnl"/>
        </w:rPr>
        <w:t xml:space="preserve"> nacional</w:t>
      </w:r>
      <w:r w:rsidR="00795BF9" w:rsidRPr="00C377B8">
        <w:rPr>
          <w:rFonts w:ascii="Century Gothic" w:hAnsi="Century Gothic" w:cs="Times New Roman"/>
          <w:sz w:val="21"/>
          <w:szCs w:val="21"/>
          <w:lang w:val="es-ES_tradnl" w:eastAsia="es-ES_tradnl"/>
        </w:rPr>
        <w:t xml:space="preserve">es </w:t>
      </w:r>
      <w:r w:rsidR="00646F55" w:rsidRPr="00C377B8">
        <w:rPr>
          <w:rFonts w:ascii="Century Gothic" w:hAnsi="Century Gothic" w:cs="Times New Roman"/>
          <w:sz w:val="21"/>
          <w:szCs w:val="21"/>
          <w:lang w:val="es-ES_tradnl" w:eastAsia="es-ES_tradnl"/>
        </w:rPr>
        <w:t>consumi</w:t>
      </w:r>
      <w:r w:rsidRPr="00C377B8">
        <w:rPr>
          <w:rFonts w:ascii="Century Gothic" w:hAnsi="Century Gothic" w:cs="Times New Roman"/>
          <w:sz w:val="21"/>
          <w:szCs w:val="21"/>
          <w:lang w:val="es-ES_tradnl" w:eastAsia="es-ES_tradnl"/>
        </w:rPr>
        <w:t>er</w:t>
      </w:r>
      <w:r w:rsidR="00646F55" w:rsidRPr="00C377B8">
        <w:rPr>
          <w:rFonts w:ascii="Century Gothic" w:hAnsi="Century Gothic" w:cs="Times New Roman"/>
          <w:sz w:val="21"/>
          <w:szCs w:val="21"/>
          <w:lang w:val="es-ES_tradnl" w:eastAsia="es-ES_tradnl"/>
        </w:rPr>
        <w:t>o</w:t>
      </w:r>
      <w:r w:rsidRPr="00C377B8">
        <w:rPr>
          <w:rFonts w:ascii="Century Gothic" w:hAnsi="Century Gothic" w:cs="Times New Roman"/>
          <w:sz w:val="21"/>
          <w:szCs w:val="21"/>
          <w:lang w:val="es-ES_tradnl" w:eastAsia="es-ES_tradnl"/>
        </w:rPr>
        <w:t>n</w:t>
      </w:r>
      <w:r w:rsidR="00646F55" w:rsidRPr="00C377B8">
        <w:rPr>
          <w:rFonts w:ascii="Century Gothic" w:hAnsi="Century Gothic" w:cs="Times New Roman"/>
          <w:sz w:val="21"/>
          <w:szCs w:val="21"/>
          <w:lang w:val="es-ES_tradnl" w:eastAsia="es-ES_tradnl"/>
        </w:rPr>
        <w:t xml:space="preserve"> </w:t>
      </w:r>
      <w:r w:rsidR="00795BF9" w:rsidRPr="00C377B8">
        <w:rPr>
          <w:rFonts w:ascii="Century Gothic" w:hAnsi="Century Gothic" w:cs="Times New Roman"/>
          <w:sz w:val="21"/>
          <w:szCs w:val="21"/>
          <w:lang w:val="es-ES_tradnl" w:eastAsia="es-ES_tradnl"/>
        </w:rPr>
        <w:t xml:space="preserve">  </w:t>
      </w:r>
      <w:r w:rsidRPr="00C377B8">
        <w:rPr>
          <w:rFonts w:ascii="Century Gothic" w:hAnsi="Century Gothic" w:cs="Times New Roman"/>
          <w:sz w:val="21"/>
          <w:szCs w:val="21"/>
          <w:lang w:val="es-ES_tradnl" w:eastAsia="es-ES_tradnl"/>
        </w:rPr>
        <w:t>7</w:t>
      </w:r>
      <w:r w:rsidR="00A352DE" w:rsidRPr="00C377B8">
        <w:rPr>
          <w:rFonts w:ascii="Century Gothic" w:hAnsi="Century Gothic" w:cs="Times New Roman"/>
          <w:sz w:val="21"/>
          <w:szCs w:val="21"/>
          <w:lang w:val="es-ES_tradnl" w:eastAsia="es-ES_tradnl"/>
        </w:rPr>
        <w:t>.</w:t>
      </w:r>
      <w:r w:rsidR="00D9647F" w:rsidRPr="00C377B8">
        <w:rPr>
          <w:rFonts w:ascii="Century Gothic" w:hAnsi="Century Gothic" w:cs="Times New Roman"/>
          <w:sz w:val="21"/>
          <w:szCs w:val="21"/>
          <w:lang w:val="es-ES_tradnl" w:eastAsia="es-ES_tradnl"/>
        </w:rPr>
        <w:t>77</w:t>
      </w:r>
      <w:r w:rsidRPr="00C377B8">
        <w:rPr>
          <w:rFonts w:ascii="Century Gothic" w:hAnsi="Century Gothic" w:cs="Times New Roman"/>
          <w:sz w:val="21"/>
          <w:szCs w:val="21"/>
          <w:lang w:val="es-ES_tradnl" w:eastAsia="es-ES_tradnl"/>
        </w:rPr>
        <w:t>9</w:t>
      </w:r>
      <w:r w:rsidR="00646F55" w:rsidRPr="00C377B8">
        <w:rPr>
          <w:rFonts w:ascii="Century Gothic" w:hAnsi="Century Gothic" w:cs="Times New Roman"/>
          <w:sz w:val="21"/>
          <w:szCs w:val="21"/>
          <w:lang w:val="es-ES_tradnl" w:eastAsia="es-ES_tradnl"/>
        </w:rPr>
        <w:t xml:space="preserve"> </w:t>
      </w:r>
      <w:r w:rsidR="00795BF9" w:rsidRPr="00C377B8">
        <w:rPr>
          <w:rFonts w:ascii="Century Gothic" w:hAnsi="Century Gothic" w:cs="Times New Roman"/>
          <w:sz w:val="21"/>
          <w:szCs w:val="21"/>
          <w:lang w:val="es-ES_tradnl" w:eastAsia="es-ES_tradnl"/>
        </w:rPr>
        <w:t xml:space="preserve"> </w:t>
      </w:r>
      <w:r w:rsidR="00646F55" w:rsidRPr="00C377B8">
        <w:rPr>
          <w:rFonts w:ascii="Century Gothic" w:hAnsi="Century Gothic" w:cs="Times New Roman"/>
          <w:sz w:val="21"/>
          <w:szCs w:val="21"/>
          <w:lang w:val="es-ES_tradnl" w:eastAsia="es-ES_tradnl"/>
        </w:rPr>
        <w:t>GWh</w:t>
      </w:r>
      <w:r w:rsidR="00795BF9" w:rsidRPr="00C377B8">
        <w:rPr>
          <w:rFonts w:ascii="Century Gothic" w:hAnsi="Century Gothic" w:cs="Times New Roman"/>
          <w:sz w:val="21"/>
          <w:szCs w:val="21"/>
          <w:lang w:val="es-ES_tradnl" w:eastAsia="es-ES_tradnl"/>
        </w:rPr>
        <w:t xml:space="preserve">  de   energía</w:t>
      </w:r>
      <w:r w:rsidR="003719CC" w:rsidRPr="00C377B8">
        <w:rPr>
          <w:rFonts w:ascii="Century Gothic" w:hAnsi="Century Gothic" w:cs="Times New Roman"/>
          <w:sz w:val="21"/>
          <w:szCs w:val="21"/>
          <w:lang w:val="es-ES_tradnl" w:eastAsia="es-ES_tradnl"/>
        </w:rPr>
        <w:t xml:space="preserve"> eléctrica en el año 2021</w:t>
      </w:r>
      <w:r w:rsidRPr="00C377B8">
        <w:rPr>
          <w:rFonts w:ascii="Century Gothic" w:hAnsi="Century Gothic" w:cs="Times New Roman"/>
          <w:sz w:val="21"/>
          <w:szCs w:val="21"/>
          <w:lang w:val="es-ES_tradnl" w:eastAsia="es-ES_tradnl"/>
        </w:rPr>
        <w:t xml:space="preserve"> </w:t>
      </w:r>
      <w:r w:rsidR="00646F55" w:rsidRPr="00C377B8">
        <w:rPr>
          <w:rFonts w:ascii="Century Gothic" w:hAnsi="Century Gothic" w:cs="Times New Roman"/>
          <w:sz w:val="21"/>
          <w:szCs w:val="21"/>
          <w:lang w:val="es-ES_tradnl" w:eastAsia="es-ES_tradnl"/>
        </w:rPr>
        <w:t>(</w:t>
      </w:r>
      <w:r w:rsidR="00674BED" w:rsidRPr="00C377B8">
        <w:rPr>
          <w:rFonts w:ascii="Century Gothic" w:hAnsi="Century Gothic" w:cs="Times New Roman"/>
          <w:sz w:val="21"/>
          <w:szCs w:val="21"/>
          <w:lang w:val="es-ES_tradnl" w:eastAsia="es-ES_tradnl"/>
        </w:rPr>
        <w:t>+20</w:t>
      </w:r>
      <w:r w:rsidR="00157A37" w:rsidRPr="00C377B8">
        <w:rPr>
          <w:rFonts w:ascii="Century Gothic" w:hAnsi="Century Gothic" w:cs="Times New Roman"/>
          <w:sz w:val="21"/>
          <w:szCs w:val="21"/>
          <w:lang w:val="es-ES_tradnl" w:eastAsia="es-ES_tradnl"/>
        </w:rPr>
        <w:t>,</w:t>
      </w:r>
      <w:r w:rsidR="00674BED" w:rsidRPr="00C377B8">
        <w:rPr>
          <w:rFonts w:ascii="Century Gothic" w:hAnsi="Century Gothic" w:cs="Times New Roman"/>
          <w:sz w:val="21"/>
          <w:szCs w:val="21"/>
          <w:lang w:val="es-ES_tradnl" w:eastAsia="es-ES_tradnl"/>
        </w:rPr>
        <w:t>58</w:t>
      </w:r>
      <w:r w:rsidR="00646F55" w:rsidRPr="00C377B8">
        <w:rPr>
          <w:rFonts w:ascii="Century Gothic" w:hAnsi="Century Gothic" w:cs="Times New Roman"/>
          <w:sz w:val="21"/>
          <w:szCs w:val="21"/>
          <w:lang w:val="es-ES_tradnl" w:eastAsia="es-ES_tradnl"/>
        </w:rPr>
        <w:t xml:space="preserve">% respecto al año </w:t>
      </w:r>
      <w:r w:rsidR="003540AD" w:rsidRPr="00C377B8">
        <w:rPr>
          <w:rFonts w:ascii="Century Gothic" w:hAnsi="Century Gothic" w:cs="Times New Roman"/>
          <w:sz w:val="21"/>
          <w:szCs w:val="21"/>
          <w:lang w:val="es-ES_tradnl" w:eastAsia="es-ES_tradnl"/>
        </w:rPr>
        <w:t>20</w:t>
      </w:r>
      <w:r w:rsidRPr="00C377B8">
        <w:rPr>
          <w:rFonts w:ascii="Century Gothic" w:hAnsi="Century Gothic" w:cs="Times New Roman"/>
          <w:sz w:val="21"/>
          <w:szCs w:val="21"/>
          <w:lang w:val="es-ES_tradnl" w:eastAsia="es-ES_tradnl"/>
        </w:rPr>
        <w:t>20</w:t>
      </w:r>
      <w:r w:rsidR="00646F55" w:rsidRPr="00C377B8">
        <w:rPr>
          <w:rFonts w:ascii="Century Gothic" w:hAnsi="Century Gothic" w:cs="Times New Roman"/>
          <w:sz w:val="21"/>
          <w:szCs w:val="21"/>
          <w:lang w:val="es-ES_tradnl" w:eastAsia="es-ES_tradnl"/>
        </w:rPr>
        <w:t xml:space="preserve">). El mayor consumidor de energía eléctrica de red pública, el sector </w:t>
      </w:r>
      <w:r w:rsidR="00646F55" w:rsidRPr="00C377B8">
        <w:rPr>
          <w:rFonts w:ascii="Century Gothic" w:hAnsi="Century Gothic" w:cs="Times New Roman"/>
          <w:i/>
          <w:sz w:val="21"/>
          <w:szCs w:val="21"/>
          <w:lang w:val="es-ES_tradnl" w:eastAsia="es-ES_tradnl"/>
        </w:rPr>
        <w:t>Manufactura</w:t>
      </w:r>
      <w:r w:rsidR="00646F55" w:rsidRPr="00C377B8">
        <w:rPr>
          <w:rFonts w:ascii="Century Gothic" w:hAnsi="Century Gothic" w:cs="Times New Roman"/>
          <w:sz w:val="21"/>
          <w:szCs w:val="21"/>
          <w:lang w:val="es-ES_tradnl" w:eastAsia="es-ES_tradnl"/>
        </w:rPr>
        <w:t>, demanda cerca de 3</w:t>
      </w:r>
      <w:r w:rsidR="00157A37" w:rsidRPr="00C377B8">
        <w:rPr>
          <w:rFonts w:ascii="Century Gothic" w:hAnsi="Century Gothic" w:cs="Times New Roman"/>
          <w:sz w:val="21"/>
          <w:szCs w:val="21"/>
          <w:lang w:val="es-ES_tradnl" w:eastAsia="es-ES_tradnl"/>
        </w:rPr>
        <w:t>.</w:t>
      </w:r>
      <w:r w:rsidR="00F206B4" w:rsidRPr="00C377B8">
        <w:rPr>
          <w:rFonts w:ascii="Century Gothic" w:hAnsi="Century Gothic" w:cs="Times New Roman"/>
          <w:sz w:val="21"/>
          <w:szCs w:val="21"/>
          <w:lang w:val="es-ES_tradnl" w:eastAsia="es-ES_tradnl"/>
        </w:rPr>
        <w:t>87</w:t>
      </w:r>
      <w:r w:rsidR="003576E8" w:rsidRPr="00C377B8">
        <w:rPr>
          <w:rFonts w:ascii="Century Gothic" w:hAnsi="Century Gothic" w:cs="Times New Roman"/>
          <w:sz w:val="21"/>
          <w:szCs w:val="21"/>
          <w:lang w:val="es-ES_tradnl" w:eastAsia="es-ES_tradnl"/>
        </w:rPr>
        <w:t>5</w:t>
      </w:r>
      <w:r w:rsidR="00646F55" w:rsidRPr="00C377B8">
        <w:rPr>
          <w:rFonts w:ascii="Century Gothic" w:hAnsi="Century Gothic" w:cs="Times New Roman"/>
          <w:sz w:val="21"/>
          <w:szCs w:val="21"/>
          <w:lang w:val="es-ES_tradnl" w:eastAsia="es-ES_tradnl"/>
        </w:rPr>
        <w:t xml:space="preserve"> GWh/año de esta energía (</w:t>
      </w:r>
      <w:r w:rsidR="00F206B4" w:rsidRPr="00C377B8">
        <w:rPr>
          <w:rFonts w:ascii="Century Gothic" w:hAnsi="Century Gothic" w:cs="Times New Roman"/>
          <w:sz w:val="21"/>
          <w:szCs w:val="21"/>
          <w:lang w:val="es-ES_tradnl" w:eastAsia="es-ES_tradnl"/>
        </w:rPr>
        <w:t>+13</w:t>
      </w:r>
      <w:r w:rsidR="00157A37" w:rsidRPr="00C377B8">
        <w:rPr>
          <w:rFonts w:ascii="Century Gothic" w:hAnsi="Century Gothic" w:cs="Times New Roman"/>
          <w:sz w:val="21"/>
          <w:szCs w:val="21"/>
          <w:lang w:val="es-ES_tradnl" w:eastAsia="es-ES_tradnl"/>
        </w:rPr>
        <w:t>,</w:t>
      </w:r>
      <w:r w:rsidR="00646F55" w:rsidRPr="00C377B8">
        <w:rPr>
          <w:rFonts w:ascii="Century Gothic" w:hAnsi="Century Gothic" w:cs="Times New Roman"/>
          <w:sz w:val="21"/>
          <w:szCs w:val="21"/>
          <w:lang w:val="es-ES_tradnl" w:eastAsia="es-ES_tradnl"/>
        </w:rPr>
        <w:t>4</w:t>
      </w:r>
      <w:r w:rsidR="00F206B4" w:rsidRPr="00C377B8">
        <w:rPr>
          <w:rFonts w:ascii="Century Gothic" w:hAnsi="Century Gothic" w:cs="Times New Roman"/>
          <w:sz w:val="21"/>
          <w:szCs w:val="21"/>
          <w:lang w:val="es-ES_tradnl" w:eastAsia="es-ES_tradnl"/>
        </w:rPr>
        <w:t>7</w:t>
      </w:r>
      <w:r w:rsidR="00646F55" w:rsidRPr="00C377B8">
        <w:rPr>
          <w:rFonts w:ascii="Century Gothic" w:hAnsi="Century Gothic" w:cs="Times New Roman"/>
          <w:sz w:val="21"/>
          <w:szCs w:val="21"/>
          <w:lang w:val="es-ES_tradnl" w:eastAsia="es-ES_tradnl"/>
        </w:rPr>
        <w:t xml:space="preserve">% respecto al año </w:t>
      </w:r>
      <w:r w:rsidR="003540AD" w:rsidRPr="00C377B8">
        <w:rPr>
          <w:rFonts w:ascii="Century Gothic" w:hAnsi="Century Gothic" w:cs="Times New Roman"/>
          <w:sz w:val="21"/>
          <w:szCs w:val="21"/>
          <w:lang w:val="es-ES_tradnl" w:eastAsia="es-ES_tradnl"/>
        </w:rPr>
        <w:t>20</w:t>
      </w:r>
      <w:r w:rsidR="00F206B4" w:rsidRPr="00C377B8">
        <w:rPr>
          <w:rFonts w:ascii="Century Gothic" w:hAnsi="Century Gothic" w:cs="Times New Roman"/>
          <w:sz w:val="21"/>
          <w:szCs w:val="21"/>
          <w:lang w:val="es-ES_tradnl" w:eastAsia="es-ES_tradnl"/>
        </w:rPr>
        <w:t>20</w:t>
      </w:r>
      <w:r w:rsidR="00646F55" w:rsidRPr="00C377B8">
        <w:rPr>
          <w:rFonts w:ascii="Century Gothic" w:hAnsi="Century Gothic" w:cs="Times New Roman"/>
          <w:sz w:val="21"/>
          <w:szCs w:val="21"/>
          <w:lang w:val="es-ES_tradnl" w:eastAsia="es-ES_tradnl"/>
        </w:rPr>
        <w:t xml:space="preserve">), que corresponde al </w:t>
      </w:r>
      <w:r w:rsidR="00122C6B" w:rsidRPr="00C377B8">
        <w:rPr>
          <w:rFonts w:ascii="Century Gothic" w:hAnsi="Century Gothic" w:cs="Times New Roman"/>
          <w:sz w:val="21"/>
          <w:szCs w:val="21"/>
          <w:lang w:val="es-ES_tradnl" w:eastAsia="es-ES_tradnl"/>
        </w:rPr>
        <w:t>49</w:t>
      </w:r>
      <w:r w:rsidR="00157A37" w:rsidRPr="00C377B8">
        <w:rPr>
          <w:rFonts w:ascii="Century Gothic" w:hAnsi="Century Gothic" w:cs="Times New Roman"/>
          <w:sz w:val="21"/>
          <w:szCs w:val="21"/>
          <w:lang w:val="es-ES_tradnl" w:eastAsia="es-ES_tradnl"/>
        </w:rPr>
        <w:t>,</w:t>
      </w:r>
      <w:r w:rsidR="00122C6B" w:rsidRPr="00C377B8">
        <w:rPr>
          <w:rFonts w:ascii="Century Gothic" w:hAnsi="Century Gothic" w:cs="Times New Roman"/>
          <w:sz w:val="21"/>
          <w:szCs w:val="21"/>
          <w:lang w:val="es-ES_tradnl" w:eastAsia="es-ES_tradnl"/>
        </w:rPr>
        <w:t>8</w:t>
      </w:r>
      <w:r w:rsidR="003576E8" w:rsidRPr="00C377B8">
        <w:rPr>
          <w:rFonts w:ascii="Century Gothic" w:hAnsi="Century Gothic" w:cs="Times New Roman"/>
          <w:sz w:val="21"/>
          <w:szCs w:val="21"/>
          <w:lang w:val="es-ES_tradnl" w:eastAsia="es-ES_tradnl"/>
        </w:rPr>
        <w:t>2</w:t>
      </w:r>
      <w:r w:rsidR="00646F55" w:rsidRPr="00C377B8">
        <w:rPr>
          <w:rFonts w:ascii="Century Gothic" w:hAnsi="Century Gothic" w:cs="Times New Roman"/>
          <w:sz w:val="21"/>
          <w:szCs w:val="21"/>
          <w:lang w:val="es-ES_tradnl" w:eastAsia="es-ES_tradnl"/>
        </w:rPr>
        <w:t xml:space="preserve">% de los </w:t>
      </w:r>
      <w:r w:rsidR="00F206B4" w:rsidRPr="00C377B8">
        <w:rPr>
          <w:rFonts w:ascii="Century Gothic" w:hAnsi="Century Gothic" w:cs="Times New Roman"/>
          <w:sz w:val="21"/>
          <w:szCs w:val="21"/>
          <w:lang w:val="es-ES_tradnl" w:eastAsia="es-ES_tradnl"/>
        </w:rPr>
        <w:t>7</w:t>
      </w:r>
      <w:r w:rsidR="00157A37" w:rsidRPr="00C377B8">
        <w:rPr>
          <w:rFonts w:ascii="Century Gothic" w:hAnsi="Century Gothic" w:cs="Times New Roman"/>
          <w:sz w:val="21"/>
          <w:szCs w:val="21"/>
          <w:lang w:val="es-ES_tradnl" w:eastAsia="es-ES_tradnl"/>
        </w:rPr>
        <w:t>.</w:t>
      </w:r>
      <w:r w:rsidR="003576E8" w:rsidRPr="00C377B8">
        <w:rPr>
          <w:rFonts w:ascii="Century Gothic" w:hAnsi="Century Gothic" w:cs="Times New Roman"/>
          <w:sz w:val="21"/>
          <w:szCs w:val="21"/>
          <w:lang w:val="es-ES_tradnl" w:eastAsia="es-ES_tradnl"/>
        </w:rPr>
        <w:t>77</w:t>
      </w:r>
      <w:r w:rsidR="00F206B4" w:rsidRPr="00C377B8">
        <w:rPr>
          <w:rFonts w:ascii="Century Gothic" w:hAnsi="Century Gothic" w:cs="Times New Roman"/>
          <w:sz w:val="21"/>
          <w:szCs w:val="21"/>
          <w:lang w:val="es-ES_tradnl" w:eastAsia="es-ES_tradnl"/>
        </w:rPr>
        <w:t>9</w:t>
      </w:r>
      <w:r w:rsidR="00646F55" w:rsidRPr="00C377B8">
        <w:rPr>
          <w:rFonts w:ascii="Century Gothic" w:hAnsi="Century Gothic" w:cs="Times New Roman"/>
          <w:sz w:val="21"/>
          <w:szCs w:val="21"/>
          <w:lang w:val="es-ES_tradnl" w:eastAsia="es-ES_tradnl"/>
        </w:rPr>
        <w:t xml:space="preserve"> GWh </w:t>
      </w:r>
      <w:r w:rsidR="008514B8">
        <w:rPr>
          <w:rFonts w:ascii="Century Gothic" w:hAnsi="Century Gothic" w:cs="Times New Roman"/>
          <w:sz w:val="21"/>
          <w:szCs w:val="21"/>
          <w:lang w:val="es-ES_tradnl" w:eastAsia="es-ES_tradnl"/>
        </w:rPr>
        <w:t>mencionados</w:t>
      </w:r>
      <w:r w:rsidR="00646F55" w:rsidRPr="00C377B8">
        <w:rPr>
          <w:rFonts w:ascii="Century Gothic" w:hAnsi="Century Gothic" w:cs="Times New Roman"/>
          <w:sz w:val="21"/>
          <w:szCs w:val="21"/>
          <w:lang w:val="es-ES_tradnl" w:eastAsia="es-ES_tradnl"/>
        </w:rPr>
        <w:t>.</w:t>
      </w:r>
      <w:r w:rsidR="00545EA1">
        <w:rPr>
          <w:rFonts w:ascii="Century Gothic" w:hAnsi="Century Gothic" w:cs="Times New Roman"/>
          <w:sz w:val="21"/>
          <w:szCs w:val="21"/>
          <w:lang w:val="es-ES_tradnl" w:eastAsia="es-ES_tradnl"/>
        </w:rPr>
        <w:t xml:space="preserve"> Cabe agregar que el aumento interanual nacional del VAB es de 17,29%, menor que el 20,58% del aumento del consumo de energía eléctrica de red pública. </w:t>
      </w:r>
      <w:r w:rsidR="00BF1478">
        <w:rPr>
          <w:rFonts w:ascii="Century Gothic" w:hAnsi="Century Gothic" w:cs="Times New Roman"/>
          <w:sz w:val="21"/>
          <w:szCs w:val="21"/>
          <w:lang w:val="es-ES_tradnl" w:eastAsia="es-ES_tradnl"/>
        </w:rPr>
        <w:t>E</w:t>
      </w:r>
      <w:r w:rsidR="00545EA1">
        <w:rPr>
          <w:rFonts w:ascii="Century Gothic" w:hAnsi="Century Gothic" w:cs="Times New Roman"/>
          <w:sz w:val="21"/>
          <w:szCs w:val="21"/>
          <w:lang w:val="es-ES_tradnl" w:eastAsia="es-ES_tradnl"/>
        </w:rPr>
        <w:t>st</w:t>
      </w:r>
      <w:r w:rsidR="004B1758">
        <w:rPr>
          <w:rFonts w:ascii="Century Gothic" w:hAnsi="Century Gothic" w:cs="Times New Roman"/>
          <w:sz w:val="21"/>
          <w:szCs w:val="21"/>
          <w:lang w:val="es-ES_tradnl" w:eastAsia="es-ES_tradnl"/>
        </w:rPr>
        <w:t>e</w:t>
      </w:r>
      <w:r w:rsidR="00545EA1">
        <w:rPr>
          <w:rFonts w:ascii="Century Gothic" w:hAnsi="Century Gothic" w:cs="Times New Roman"/>
          <w:sz w:val="21"/>
          <w:szCs w:val="21"/>
          <w:lang w:val="es-ES_tradnl" w:eastAsia="es-ES_tradnl"/>
        </w:rPr>
        <w:t xml:space="preserve"> resultado </w:t>
      </w:r>
      <w:r w:rsidR="004B1758">
        <w:rPr>
          <w:rFonts w:ascii="Century Gothic" w:hAnsi="Century Gothic" w:cs="Times New Roman"/>
          <w:sz w:val="21"/>
          <w:szCs w:val="21"/>
          <w:lang w:val="es-ES_tradnl" w:eastAsia="es-ES_tradnl"/>
        </w:rPr>
        <w:t>implica una</w:t>
      </w:r>
      <w:r w:rsidR="00BF1478">
        <w:rPr>
          <w:rFonts w:ascii="Century Gothic" w:hAnsi="Century Gothic" w:cs="Times New Roman"/>
          <w:sz w:val="21"/>
          <w:szCs w:val="21"/>
          <w:lang w:val="es-ES_tradnl" w:eastAsia="es-ES_tradnl"/>
        </w:rPr>
        <w:t xml:space="preserve"> deficiente </w:t>
      </w:r>
      <w:r w:rsidR="00545EA1">
        <w:rPr>
          <w:rFonts w:ascii="Century Gothic" w:hAnsi="Century Gothic" w:cs="Times New Roman"/>
          <w:sz w:val="21"/>
          <w:szCs w:val="21"/>
          <w:lang w:val="es-ES_tradnl" w:eastAsia="es-ES_tradnl"/>
        </w:rPr>
        <w:t>eficiencia energétic</w:t>
      </w:r>
      <w:r w:rsidR="00BF1478">
        <w:rPr>
          <w:rFonts w:ascii="Century Gothic" w:hAnsi="Century Gothic" w:cs="Times New Roman"/>
          <w:sz w:val="21"/>
          <w:szCs w:val="21"/>
          <w:lang w:val="es-ES_tradnl" w:eastAsia="es-ES_tradnl"/>
        </w:rPr>
        <w:t>a</w:t>
      </w:r>
      <w:r w:rsidR="00545EA1">
        <w:rPr>
          <w:rFonts w:ascii="Century Gothic" w:hAnsi="Century Gothic" w:cs="Times New Roman"/>
          <w:sz w:val="21"/>
          <w:szCs w:val="21"/>
          <w:lang w:val="es-ES_tradnl" w:eastAsia="es-ES_tradnl"/>
        </w:rPr>
        <w:t xml:space="preserve"> de</w:t>
      </w:r>
      <w:r w:rsidR="00E11D85">
        <w:rPr>
          <w:rFonts w:ascii="Century Gothic" w:hAnsi="Century Gothic" w:cs="Times New Roman"/>
          <w:sz w:val="21"/>
          <w:szCs w:val="21"/>
          <w:lang w:val="es-ES_tradnl" w:eastAsia="es-ES_tradnl"/>
        </w:rPr>
        <w:t xml:space="preserve"> </w:t>
      </w:r>
      <w:r w:rsidR="00545EA1">
        <w:rPr>
          <w:rFonts w:ascii="Century Gothic" w:hAnsi="Century Gothic" w:cs="Times New Roman"/>
          <w:sz w:val="21"/>
          <w:szCs w:val="21"/>
          <w:lang w:val="es-ES_tradnl" w:eastAsia="es-ES_tradnl"/>
        </w:rPr>
        <w:t>l</w:t>
      </w:r>
      <w:r w:rsidR="00E11D85">
        <w:rPr>
          <w:rFonts w:ascii="Century Gothic" w:hAnsi="Century Gothic" w:cs="Times New Roman"/>
          <w:sz w:val="21"/>
          <w:szCs w:val="21"/>
          <w:lang w:val="es-ES_tradnl" w:eastAsia="es-ES_tradnl"/>
        </w:rPr>
        <w:t>as</w:t>
      </w:r>
      <w:r w:rsidR="00545EA1">
        <w:rPr>
          <w:rFonts w:ascii="Century Gothic" w:hAnsi="Century Gothic" w:cs="Times New Roman"/>
          <w:sz w:val="21"/>
          <w:szCs w:val="21"/>
          <w:lang w:val="es-ES_tradnl" w:eastAsia="es-ES_tradnl"/>
        </w:rPr>
        <w:t xml:space="preserve"> </w:t>
      </w:r>
      <w:r w:rsidR="00E11D85">
        <w:rPr>
          <w:rFonts w:ascii="Century Gothic" w:hAnsi="Century Gothic" w:cs="Times New Roman"/>
          <w:sz w:val="21"/>
          <w:szCs w:val="21"/>
          <w:lang w:val="es-ES_tradnl" w:eastAsia="es-ES_tradnl"/>
        </w:rPr>
        <w:t>empresas</w:t>
      </w:r>
      <w:r w:rsidR="00545EA1">
        <w:rPr>
          <w:rFonts w:ascii="Century Gothic" w:hAnsi="Century Gothic" w:cs="Times New Roman"/>
          <w:sz w:val="21"/>
          <w:szCs w:val="21"/>
          <w:lang w:val="es-ES_tradnl" w:eastAsia="es-ES_tradnl"/>
        </w:rPr>
        <w:t xml:space="preserve"> nacional</w:t>
      </w:r>
      <w:r w:rsidR="00E11D85">
        <w:rPr>
          <w:rFonts w:ascii="Century Gothic" w:hAnsi="Century Gothic" w:cs="Times New Roman"/>
          <w:sz w:val="21"/>
          <w:szCs w:val="21"/>
          <w:lang w:val="es-ES_tradnl" w:eastAsia="es-ES_tradnl"/>
        </w:rPr>
        <w:t>es</w:t>
      </w:r>
      <w:r w:rsidR="00545EA1">
        <w:rPr>
          <w:rFonts w:ascii="Century Gothic" w:hAnsi="Century Gothic" w:cs="Times New Roman"/>
          <w:sz w:val="21"/>
          <w:szCs w:val="21"/>
          <w:lang w:val="es-ES_tradnl" w:eastAsia="es-ES_tradnl"/>
        </w:rPr>
        <w:t>.</w:t>
      </w:r>
    </w:p>
    <w:p w14:paraId="0EE6AC36" w14:textId="77777777" w:rsidR="00646F55" w:rsidRPr="00F234E6" w:rsidRDefault="00646F55" w:rsidP="00646F55">
      <w:pPr>
        <w:jc w:val="both"/>
        <w:rPr>
          <w:rFonts w:ascii="Century Gothic" w:hAnsi="Century Gothic" w:cs="Times New Roman"/>
          <w:sz w:val="21"/>
          <w:szCs w:val="21"/>
          <w:lang w:val="es-ES_tradnl" w:eastAsia="es-ES_tradnl"/>
        </w:rPr>
      </w:pPr>
    </w:p>
    <w:p w14:paraId="3371059F" w14:textId="1F1C4FAA" w:rsidR="00A575C7" w:rsidRDefault="00A70FD3" w:rsidP="00646F55">
      <w:pPr>
        <w:jc w:val="both"/>
        <w:rPr>
          <w:rFonts w:ascii="Century Gothic" w:hAnsi="Century Gothic" w:cstheme="minorHAnsi"/>
          <w:sz w:val="21"/>
          <w:szCs w:val="21"/>
        </w:rPr>
      </w:pPr>
      <w:r w:rsidRPr="006B4431">
        <w:rPr>
          <w:rFonts w:ascii="Century Gothic" w:hAnsi="Century Gothic" w:cstheme="minorHAnsi"/>
          <w:sz w:val="20"/>
          <w:szCs w:val="20"/>
        </w:rPr>
        <w:t>Cinco</w:t>
      </w:r>
      <w:r w:rsidR="00646F55" w:rsidRPr="006B4431">
        <w:rPr>
          <w:rFonts w:ascii="Century Gothic" w:hAnsi="Century Gothic" w:cstheme="minorHAnsi"/>
          <w:sz w:val="20"/>
          <w:szCs w:val="20"/>
        </w:rPr>
        <w:t xml:space="preserve"> actividades económic</w:t>
      </w:r>
      <w:r w:rsidRPr="006B4431">
        <w:rPr>
          <w:rFonts w:ascii="Century Gothic" w:hAnsi="Century Gothic" w:cstheme="minorHAnsi"/>
          <w:sz w:val="20"/>
          <w:szCs w:val="20"/>
        </w:rPr>
        <w:t>as</w:t>
      </w:r>
      <w:r w:rsidR="0041546E" w:rsidRPr="006B4431">
        <w:rPr>
          <w:rFonts w:ascii="Century Gothic" w:hAnsi="Century Gothic" w:cstheme="minorHAnsi"/>
          <w:sz w:val="21"/>
          <w:szCs w:val="21"/>
        </w:rPr>
        <w:t xml:space="preserve"> </w:t>
      </w:r>
      <w:r w:rsidR="00A83D6C" w:rsidRPr="006B4431">
        <w:rPr>
          <w:rFonts w:ascii="Century Gothic" w:hAnsi="Century Gothic" w:cstheme="minorHAnsi"/>
          <w:sz w:val="21"/>
          <w:szCs w:val="21"/>
        </w:rPr>
        <w:t>exhiben un comportamiento ineficiente desde la perspectiva energética:</w:t>
      </w:r>
      <w:r w:rsidR="00646F55" w:rsidRPr="006B4431">
        <w:rPr>
          <w:rFonts w:ascii="Century Gothic" w:hAnsi="Century Gothic" w:cstheme="minorHAnsi"/>
          <w:sz w:val="21"/>
          <w:szCs w:val="21"/>
        </w:rPr>
        <w:t xml:space="preserve"> </w:t>
      </w:r>
      <w:r w:rsidRPr="006B4431">
        <w:rPr>
          <w:rFonts w:ascii="Century Gothic" w:hAnsi="Century Gothic" w:cstheme="minorHAnsi"/>
          <w:i/>
          <w:sz w:val="20"/>
          <w:szCs w:val="21"/>
        </w:rPr>
        <w:t>Actividades inmobilia</w:t>
      </w:r>
      <w:r w:rsidR="00646F55" w:rsidRPr="006B4431">
        <w:rPr>
          <w:rFonts w:ascii="Century Gothic" w:hAnsi="Century Gothic" w:cstheme="minorHAnsi"/>
          <w:i/>
          <w:sz w:val="20"/>
          <w:szCs w:val="21"/>
        </w:rPr>
        <w:t>r</w:t>
      </w:r>
      <w:r w:rsidRPr="006B4431">
        <w:rPr>
          <w:rFonts w:ascii="Century Gothic" w:hAnsi="Century Gothic" w:cstheme="minorHAnsi"/>
          <w:i/>
          <w:sz w:val="20"/>
          <w:szCs w:val="21"/>
        </w:rPr>
        <w:t>i</w:t>
      </w:r>
      <w:r w:rsidR="00646F55" w:rsidRPr="006B4431">
        <w:rPr>
          <w:rFonts w:ascii="Century Gothic" w:hAnsi="Century Gothic" w:cstheme="minorHAnsi"/>
          <w:i/>
          <w:sz w:val="20"/>
          <w:szCs w:val="21"/>
        </w:rPr>
        <w:t>as</w:t>
      </w:r>
      <w:r w:rsidR="00A83D6C" w:rsidRPr="006B4431">
        <w:rPr>
          <w:rFonts w:ascii="Century Gothic" w:hAnsi="Century Gothic" w:cstheme="minorHAnsi"/>
          <w:iCs/>
          <w:sz w:val="20"/>
          <w:szCs w:val="21"/>
        </w:rPr>
        <w:t xml:space="preserve"> </w:t>
      </w:r>
      <w:r w:rsidR="0041546E" w:rsidRPr="006B4431">
        <w:rPr>
          <w:rFonts w:ascii="Century Gothic" w:hAnsi="Century Gothic" w:cstheme="minorHAnsi"/>
          <w:sz w:val="20"/>
          <w:szCs w:val="21"/>
        </w:rPr>
        <w:t>(</w:t>
      </w:r>
      <w:r w:rsidRPr="006B4431">
        <w:rPr>
          <w:rFonts w:ascii="Century Gothic" w:hAnsi="Century Gothic" w:cstheme="minorHAnsi"/>
          <w:sz w:val="20"/>
          <w:szCs w:val="21"/>
        </w:rPr>
        <w:t>+</w:t>
      </w:r>
      <w:r w:rsidRPr="006B4431">
        <w:rPr>
          <w:rFonts w:ascii="Century Gothic" w:hAnsi="Century Gothic" w:cstheme="minorHAnsi"/>
          <w:sz w:val="21"/>
          <w:szCs w:val="21"/>
        </w:rPr>
        <w:t>149,86</w:t>
      </w:r>
      <w:r w:rsidR="0041546E" w:rsidRPr="006B4431">
        <w:rPr>
          <w:rFonts w:ascii="Century Gothic" w:hAnsi="Century Gothic" w:cstheme="minorHAnsi"/>
          <w:sz w:val="20"/>
          <w:szCs w:val="21"/>
        </w:rPr>
        <w:t>%</w:t>
      </w:r>
      <w:r w:rsidR="00646F55" w:rsidRPr="006B4431">
        <w:rPr>
          <w:rFonts w:ascii="Century Gothic" w:hAnsi="Century Gothic" w:cstheme="minorHAnsi"/>
          <w:sz w:val="21"/>
          <w:szCs w:val="21"/>
        </w:rPr>
        <w:t xml:space="preserve"> VAB, +</w:t>
      </w:r>
      <w:r w:rsidRPr="006B4431">
        <w:rPr>
          <w:rFonts w:ascii="Century Gothic" w:hAnsi="Century Gothic" w:cstheme="minorHAnsi"/>
          <w:sz w:val="20"/>
          <w:szCs w:val="21"/>
        </w:rPr>
        <w:t>529,24</w:t>
      </w:r>
      <w:r w:rsidR="00646F55" w:rsidRPr="006B4431">
        <w:rPr>
          <w:rFonts w:ascii="Century Gothic" w:hAnsi="Century Gothic" w:cstheme="minorHAnsi"/>
          <w:sz w:val="21"/>
          <w:szCs w:val="21"/>
        </w:rPr>
        <w:t>%</w:t>
      </w:r>
      <w:r w:rsidR="00A83D6C" w:rsidRPr="006B4431">
        <w:rPr>
          <w:rFonts w:ascii="Century Gothic" w:hAnsi="Century Gothic" w:cstheme="minorHAnsi"/>
          <w:sz w:val="21"/>
          <w:szCs w:val="21"/>
        </w:rPr>
        <w:t xml:space="preserve"> </w:t>
      </w:r>
      <w:r w:rsidR="00646F55" w:rsidRPr="006B4431">
        <w:rPr>
          <w:rFonts w:ascii="Century Gothic" w:hAnsi="Century Gothic" w:cstheme="minorHAnsi"/>
          <w:sz w:val="21"/>
          <w:szCs w:val="21"/>
        </w:rPr>
        <w:t>energía)</w:t>
      </w:r>
      <w:r w:rsidR="00140827" w:rsidRPr="006B4431">
        <w:rPr>
          <w:rFonts w:ascii="Century Gothic" w:hAnsi="Century Gothic" w:cstheme="minorHAnsi"/>
          <w:sz w:val="21"/>
          <w:szCs w:val="21"/>
        </w:rPr>
        <w:t xml:space="preserve">; </w:t>
      </w:r>
      <w:r w:rsidRPr="006B4431">
        <w:rPr>
          <w:rFonts w:ascii="Century Gothic" w:hAnsi="Century Gothic" w:cstheme="minorHAnsi"/>
          <w:i/>
          <w:iCs/>
          <w:sz w:val="21"/>
          <w:szCs w:val="21"/>
        </w:rPr>
        <w:t>Construcción</w:t>
      </w:r>
      <w:r w:rsidR="00140827" w:rsidRPr="006B4431">
        <w:rPr>
          <w:rFonts w:ascii="Century Gothic" w:hAnsi="Century Gothic" w:cstheme="minorHAnsi"/>
          <w:sz w:val="21"/>
          <w:szCs w:val="21"/>
        </w:rPr>
        <w:t xml:space="preserve"> (</w:t>
      </w:r>
      <w:r w:rsidRPr="006B4431">
        <w:rPr>
          <w:rFonts w:ascii="Century Gothic" w:hAnsi="Century Gothic" w:cstheme="minorHAnsi"/>
          <w:sz w:val="21"/>
          <w:szCs w:val="21"/>
        </w:rPr>
        <w:t>+17,</w:t>
      </w:r>
      <w:r w:rsidR="00140827" w:rsidRPr="006B4431">
        <w:rPr>
          <w:rFonts w:ascii="Century Gothic" w:hAnsi="Century Gothic" w:cstheme="minorHAnsi"/>
          <w:sz w:val="21"/>
          <w:szCs w:val="21"/>
        </w:rPr>
        <w:t>4</w:t>
      </w:r>
      <w:r w:rsidRPr="006B4431">
        <w:rPr>
          <w:rFonts w:ascii="Century Gothic" w:hAnsi="Century Gothic" w:cstheme="minorHAnsi"/>
          <w:sz w:val="21"/>
          <w:szCs w:val="21"/>
        </w:rPr>
        <w:t>3</w:t>
      </w:r>
      <w:r w:rsidR="00140827" w:rsidRPr="006B4431">
        <w:rPr>
          <w:rFonts w:ascii="Century Gothic" w:hAnsi="Century Gothic" w:cstheme="minorHAnsi"/>
          <w:sz w:val="21"/>
          <w:szCs w:val="21"/>
        </w:rPr>
        <w:t>% VAB, +</w:t>
      </w:r>
      <w:r w:rsidR="00A575C7" w:rsidRPr="006B4431">
        <w:rPr>
          <w:rFonts w:ascii="Century Gothic" w:hAnsi="Century Gothic" w:cstheme="minorHAnsi"/>
          <w:sz w:val="21"/>
          <w:szCs w:val="21"/>
        </w:rPr>
        <w:t>276,</w:t>
      </w:r>
      <w:r w:rsidR="00140827" w:rsidRPr="006B4431">
        <w:rPr>
          <w:rFonts w:ascii="Century Gothic" w:hAnsi="Century Gothic" w:cstheme="minorHAnsi"/>
          <w:sz w:val="21"/>
          <w:szCs w:val="21"/>
        </w:rPr>
        <w:t>5</w:t>
      </w:r>
      <w:r w:rsidR="00A575C7" w:rsidRPr="006B4431">
        <w:rPr>
          <w:rFonts w:ascii="Century Gothic" w:hAnsi="Century Gothic" w:cstheme="minorHAnsi"/>
          <w:sz w:val="21"/>
          <w:szCs w:val="21"/>
        </w:rPr>
        <w:t>0</w:t>
      </w:r>
      <w:r w:rsidR="00140827" w:rsidRPr="006B4431">
        <w:rPr>
          <w:rFonts w:ascii="Century Gothic" w:hAnsi="Century Gothic" w:cstheme="minorHAnsi"/>
          <w:sz w:val="21"/>
          <w:szCs w:val="21"/>
        </w:rPr>
        <w:t>% energía);</w:t>
      </w:r>
      <w:r w:rsidR="003740DE" w:rsidRPr="006B4431">
        <w:rPr>
          <w:rFonts w:ascii="Century Gothic" w:hAnsi="Century Gothic" w:cstheme="minorHAnsi"/>
          <w:sz w:val="21"/>
          <w:szCs w:val="21"/>
        </w:rPr>
        <w:t xml:space="preserve"> </w:t>
      </w:r>
      <w:r w:rsidR="00A575C7" w:rsidRPr="006B4431">
        <w:rPr>
          <w:rFonts w:ascii="Century Gothic" w:hAnsi="Century Gothic" w:cstheme="minorHAnsi"/>
          <w:i/>
          <w:sz w:val="21"/>
          <w:szCs w:val="21"/>
        </w:rPr>
        <w:t>Transporte y Almacenamiento</w:t>
      </w:r>
      <w:r w:rsidR="003740DE" w:rsidRPr="006B4431">
        <w:rPr>
          <w:rFonts w:ascii="Century Gothic" w:hAnsi="Century Gothic" w:cstheme="minorHAnsi"/>
          <w:i/>
          <w:sz w:val="21"/>
          <w:szCs w:val="21"/>
        </w:rPr>
        <w:t xml:space="preserve"> </w:t>
      </w:r>
      <w:r w:rsidR="00646F55" w:rsidRPr="006B4431">
        <w:rPr>
          <w:rFonts w:ascii="Century Gothic" w:hAnsi="Century Gothic" w:cstheme="minorHAnsi"/>
          <w:sz w:val="21"/>
          <w:szCs w:val="21"/>
        </w:rPr>
        <w:t>(</w:t>
      </w:r>
      <w:r w:rsidR="00A575C7" w:rsidRPr="006B4431">
        <w:rPr>
          <w:rFonts w:ascii="Century Gothic" w:hAnsi="Century Gothic" w:cstheme="minorHAnsi"/>
          <w:sz w:val="21"/>
          <w:szCs w:val="21"/>
        </w:rPr>
        <w:t>+27</w:t>
      </w:r>
      <w:r w:rsidR="00157A37" w:rsidRPr="006B4431">
        <w:rPr>
          <w:rFonts w:ascii="Century Gothic" w:hAnsi="Century Gothic" w:cstheme="minorHAnsi"/>
          <w:sz w:val="21"/>
          <w:szCs w:val="21"/>
        </w:rPr>
        <w:t>,</w:t>
      </w:r>
      <w:r w:rsidR="00A575C7" w:rsidRPr="006B4431">
        <w:rPr>
          <w:rFonts w:ascii="Century Gothic" w:hAnsi="Century Gothic" w:cstheme="minorHAnsi"/>
          <w:sz w:val="21"/>
          <w:szCs w:val="21"/>
        </w:rPr>
        <w:t>39</w:t>
      </w:r>
      <w:r w:rsidR="00646F55" w:rsidRPr="006B4431">
        <w:rPr>
          <w:rFonts w:ascii="Century Gothic" w:hAnsi="Century Gothic" w:cstheme="minorHAnsi"/>
          <w:sz w:val="21"/>
          <w:szCs w:val="21"/>
        </w:rPr>
        <w:t>% VAB,</w:t>
      </w:r>
      <w:r w:rsidR="003740DE" w:rsidRPr="006B4431">
        <w:rPr>
          <w:rFonts w:ascii="Century Gothic" w:hAnsi="Century Gothic" w:cstheme="minorHAnsi"/>
          <w:sz w:val="21"/>
          <w:szCs w:val="21"/>
        </w:rPr>
        <w:t xml:space="preserve"> </w:t>
      </w:r>
      <w:r w:rsidR="00646F55" w:rsidRPr="006B4431">
        <w:rPr>
          <w:rFonts w:ascii="Century Gothic" w:hAnsi="Century Gothic" w:cstheme="minorHAnsi"/>
          <w:sz w:val="21"/>
          <w:szCs w:val="21"/>
        </w:rPr>
        <w:t>+</w:t>
      </w:r>
      <w:r w:rsidR="002E664E" w:rsidRPr="006B4431">
        <w:rPr>
          <w:rFonts w:ascii="Century Gothic" w:hAnsi="Century Gothic" w:cstheme="minorHAnsi"/>
          <w:sz w:val="21"/>
          <w:szCs w:val="21"/>
        </w:rPr>
        <w:t>13</w:t>
      </w:r>
      <w:r w:rsidR="00A575C7" w:rsidRPr="006B4431">
        <w:rPr>
          <w:rFonts w:ascii="Century Gothic" w:hAnsi="Century Gothic" w:cstheme="minorHAnsi"/>
          <w:sz w:val="21"/>
          <w:szCs w:val="21"/>
        </w:rPr>
        <w:t>6</w:t>
      </w:r>
      <w:r w:rsidR="00157A37" w:rsidRPr="006B4431">
        <w:rPr>
          <w:rFonts w:ascii="Century Gothic" w:hAnsi="Century Gothic" w:cstheme="minorHAnsi"/>
          <w:sz w:val="21"/>
          <w:szCs w:val="21"/>
        </w:rPr>
        <w:t>,</w:t>
      </w:r>
      <w:r w:rsidR="00A575C7" w:rsidRPr="006B4431">
        <w:rPr>
          <w:rFonts w:ascii="Century Gothic" w:hAnsi="Century Gothic" w:cstheme="minorHAnsi"/>
          <w:sz w:val="21"/>
          <w:szCs w:val="21"/>
        </w:rPr>
        <w:t>52</w:t>
      </w:r>
      <w:r w:rsidR="00646F55" w:rsidRPr="006B4431">
        <w:rPr>
          <w:rFonts w:ascii="Century Gothic" w:hAnsi="Century Gothic" w:cstheme="minorHAnsi"/>
          <w:sz w:val="21"/>
          <w:szCs w:val="21"/>
        </w:rPr>
        <w:t>% energía)</w:t>
      </w:r>
      <w:r w:rsidR="00A575C7" w:rsidRPr="006B4431">
        <w:rPr>
          <w:rFonts w:ascii="Century Gothic" w:hAnsi="Century Gothic" w:cstheme="minorHAnsi"/>
          <w:sz w:val="21"/>
          <w:szCs w:val="21"/>
        </w:rPr>
        <w:t xml:space="preserve">; </w:t>
      </w:r>
      <w:r w:rsidR="00A575C7" w:rsidRPr="006B4431">
        <w:rPr>
          <w:rFonts w:ascii="Century Gothic" w:hAnsi="Century Gothic" w:cstheme="minorHAnsi"/>
          <w:i/>
          <w:iCs/>
          <w:sz w:val="21"/>
          <w:szCs w:val="21"/>
        </w:rPr>
        <w:t>Actividades de servicios administrativos y de apoyo</w:t>
      </w:r>
      <w:r w:rsidR="00A575C7" w:rsidRPr="006B4431">
        <w:rPr>
          <w:rFonts w:ascii="Century Gothic" w:hAnsi="Century Gothic" w:cstheme="minorHAnsi"/>
          <w:sz w:val="21"/>
          <w:szCs w:val="21"/>
        </w:rPr>
        <w:t xml:space="preserve"> (+26,31% VAB, 131,83% energía) y </w:t>
      </w:r>
      <w:r w:rsidR="00A575C7" w:rsidRPr="006B4431">
        <w:rPr>
          <w:rFonts w:ascii="Century Gothic" w:hAnsi="Century Gothic" w:cstheme="minorHAnsi"/>
          <w:i/>
          <w:iCs/>
          <w:sz w:val="21"/>
          <w:szCs w:val="21"/>
        </w:rPr>
        <w:t>Actividades de la salud humana</w:t>
      </w:r>
      <w:r w:rsidR="00A575C7" w:rsidRPr="006B4431">
        <w:rPr>
          <w:rFonts w:ascii="Century Gothic" w:hAnsi="Century Gothic" w:cstheme="minorHAnsi"/>
          <w:sz w:val="21"/>
          <w:szCs w:val="21"/>
        </w:rPr>
        <w:t xml:space="preserve"> (+36,20% VAB, +102,92% energía).</w:t>
      </w:r>
      <w:r w:rsidR="00521186" w:rsidRPr="006B4431">
        <w:rPr>
          <w:rFonts w:ascii="Century Gothic" w:hAnsi="Century Gothic" w:cstheme="minorHAnsi"/>
          <w:sz w:val="21"/>
          <w:szCs w:val="21"/>
        </w:rPr>
        <w:t xml:space="preserve"> De éstas, las dos últimas actividades tienen IA de 61 y 76,5, en ese orden. Esto significa que la baja eficiencia energética se da en forma simultánea al alto impacto ambiental negativo.</w:t>
      </w:r>
    </w:p>
    <w:p w14:paraId="766AC472" w14:textId="77777777" w:rsidR="00A575C7" w:rsidRDefault="00A575C7" w:rsidP="00646F55">
      <w:pPr>
        <w:jc w:val="both"/>
        <w:rPr>
          <w:rFonts w:ascii="Century Gothic" w:hAnsi="Century Gothic" w:cstheme="minorHAnsi"/>
          <w:sz w:val="21"/>
          <w:szCs w:val="21"/>
        </w:rPr>
      </w:pPr>
    </w:p>
    <w:p w14:paraId="099A4AA6" w14:textId="74279C1D" w:rsidR="003C7233" w:rsidRPr="00E45B85" w:rsidRDefault="003C7233" w:rsidP="003C7233">
      <w:pPr>
        <w:jc w:val="both"/>
        <w:rPr>
          <w:rFonts w:ascii="Century Gothic" w:hAnsi="Century Gothic" w:cstheme="minorHAnsi"/>
          <w:sz w:val="21"/>
          <w:szCs w:val="21"/>
        </w:rPr>
      </w:pPr>
      <w:r>
        <w:rPr>
          <w:rFonts w:ascii="Century Gothic" w:hAnsi="Century Gothic" w:cstheme="minorHAnsi"/>
          <w:sz w:val="21"/>
          <w:szCs w:val="21"/>
        </w:rPr>
        <w:t xml:space="preserve">Otras cuatro actividades económicas muestran una mejora puntual en </w:t>
      </w:r>
      <w:r w:rsidR="001E43C9">
        <w:rPr>
          <w:rFonts w:ascii="Century Gothic" w:hAnsi="Century Gothic" w:cstheme="minorHAnsi"/>
          <w:sz w:val="21"/>
          <w:szCs w:val="21"/>
        </w:rPr>
        <w:t>su</w:t>
      </w:r>
      <w:r w:rsidR="0093577E" w:rsidRPr="00F234E6">
        <w:rPr>
          <w:rFonts w:ascii="Century Gothic" w:hAnsi="Century Gothic" w:cstheme="minorHAnsi"/>
          <w:sz w:val="21"/>
          <w:szCs w:val="21"/>
        </w:rPr>
        <w:t xml:space="preserve"> eficiencia</w:t>
      </w:r>
      <w:r w:rsidR="00646F55" w:rsidRPr="00F234E6">
        <w:rPr>
          <w:rFonts w:ascii="Century Gothic" w:hAnsi="Century Gothic" w:cstheme="minorHAnsi"/>
          <w:sz w:val="21"/>
          <w:szCs w:val="21"/>
        </w:rPr>
        <w:t xml:space="preserve"> energétic</w:t>
      </w:r>
      <w:r w:rsidR="0093577E" w:rsidRPr="00F234E6">
        <w:rPr>
          <w:rFonts w:ascii="Century Gothic" w:hAnsi="Century Gothic" w:cstheme="minorHAnsi"/>
          <w:sz w:val="21"/>
          <w:szCs w:val="21"/>
        </w:rPr>
        <w:t>a</w:t>
      </w:r>
      <w:r>
        <w:rPr>
          <w:rFonts w:ascii="Century Gothic" w:hAnsi="Century Gothic" w:cstheme="minorHAnsi"/>
          <w:sz w:val="21"/>
          <w:szCs w:val="21"/>
        </w:rPr>
        <w:t xml:space="preserve">. </w:t>
      </w:r>
      <w:r w:rsidRPr="003C7233">
        <w:rPr>
          <w:rFonts w:ascii="Century Gothic" w:hAnsi="Century Gothic" w:cstheme="minorHAnsi"/>
          <w:i/>
          <w:iCs/>
          <w:sz w:val="21"/>
          <w:szCs w:val="21"/>
        </w:rPr>
        <w:t>Actividades de alojamiento y de servicio de comidas</w:t>
      </w:r>
      <w:r>
        <w:rPr>
          <w:rFonts w:ascii="Century Gothic" w:hAnsi="Century Gothic" w:cstheme="minorHAnsi"/>
          <w:sz w:val="21"/>
          <w:szCs w:val="21"/>
        </w:rPr>
        <w:t xml:space="preserve"> (+44,24 VAB, -97,01% energía); </w:t>
      </w:r>
      <w:r w:rsidRPr="003C7233">
        <w:rPr>
          <w:rFonts w:ascii="Century Gothic" w:hAnsi="Century Gothic" w:cstheme="minorHAnsi"/>
          <w:i/>
          <w:iCs/>
          <w:sz w:val="21"/>
          <w:szCs w:val="21"/>
        </w:rPr>
        <w:t>Actividades financieras y de seguros</w:t>
      </w:r>
      <w:r>
        <w:rPr>
          <w:rFonts w:ascii="Century Gothic" w:hAnsi="Century Gothic" w:cstheme="minorHAnsi"/>
          <w:sz w:val="21"/>
          <w:szCs w:val="21"/>
        </w:rPr>
        <w:t xml:space="preserve"> (+3,67 VAB, -93,17% energía); </w:t>
      </w:r>
      <w:r w:rsidRPr="003C7233">
        <w:rPr>
          <w:rFonts w:ascii="Century Gothic" w:hAnsi="Century Gothic" w:cstheme="minorHAnsi"/>
          <w:i/>
          <w:iCs/>
          <w:sz w:val="21"/>
          <w:szCs w:val="21"/>
        </w:rPr>
        <w:t>Enseñanza</w:t>
      </w:r>
      <w:r>
        <w:rPr>
          <w:rFonts w:ascii="Century Gothic" w:hAnsi="Century Gothic" w:cstheme="minorHAnsi"/>
          <w:sz w:val="21"/>
          <w:szCs w:val="21"/>
        </w:rPr>
        <w:t xml:space="preserve"> (+12,02% VAB, -90,93% energía); e </w:t>
      </w:r>
      <w:r w:rsidRPr="003C7233">
        <w:rPr>
          <w:rFonts w:ascii="Century Gothic" w:hAnsi="Century Gothic" w:cstheme="minorHAnsi"/>
          <w:i/>
          <w:iCs/>
          <w:sz w:val="21"/>
          <w:szCs w:val="21"/>
        </w:rPr>
        <w:t>Industria Manufacturera</w:t>
      </w:r>
      <w:r>
        <w:rPr>
          <w:rFonts w:ascii="Century Gothic" w:hAnsi="Century Gothic" w:cstheme="minorHAnsi"/>
          <w:sz w:val="21"/>
          <w:szCs w:val="21"/>
        </w:rPr>
        <w:t xml:space="preserve"> (+23,26% VAB, -5</w:t>
      </w:r>
      <w:r w:rsidR="00E45B85">
        <w:rPr>
          <w:rFonts w:ascii="Century Gothic" w:hAnsi="Century Gothic" w:cstheme="minorHAnsi"/>
          <w:sz w:val="21"/>
          <w:szCs w:val="21"/>
        </w:rPr>
        <w:t>,</w:t>
      </w:r>
      <w:r>
        <w:rPr>
          <w:rFonts w:ascii="Century Gothic" w:hAnsi="Century Gothic" w:cstheme="minorHAnsi"/>
          <w:sz w:val="21"/>
          <w:szCs w:val="21"/>
        </w:rPr>
        <w:t>77% energía).</w:t>
      </w:r>
      <w:r w:rsidR="00E45B85">
        <w:rPr>
          <w:rFonts w:ascii="Century Gothic" w:hAnsi="Century Gothic" w:cstheme="minorHAnsi"/>
          <w:sz w:val="21"/>
          <w:szCs w:val="21"/>
        </w:rPr>
        <w:t xml:space="preserve"> De éstas, </w:t>
      </w:r>
      <w:r w:rsidR="00E45B85" w:rsidRPr="003C7233">
        <w:rPr>
          <w:rFonts w:ascii="Century Gothic" w:hAnsi="Century Gothic" w:cstheme="minorHAnsi"/>
          <w:i/>
          <w:iCs/>
          <w:sz w:val="21"/>
          <w:szCs w:val="21"/>
        </w:rPr>
        <w:t>Actividades de alojamiento y de servicio de comidas</w:t>
      </w:r>
      <w:r w:rsidR="00E45B85">
        <w:rPr>
          <w:rFonts w:ascii="Century Gothic" w:hAnsi="Century Gothic" w:cstheme="minorHAnsi"/>
          <w:i/>
          <w:iCs/>
          <w:sz w:val="21"/>
          <w:szCs w:val="21"/>
        </w:rPr>
        <w:t>, Manufactura</w:t>
      </w:r>
      <w:r w:rsidR="00E45B85">
        <w:rPr>
          <w:rFonts w:ascii="Century Gothic" w:hAnsi="Century Gothic" w:cstheme="minorHAnsi"/>
          <w:sz w:val="21"/>
          <w:szCs w:val="21"/>
        </w:rPr>
        <w:t xml:space="preserve"> y </w:t>
      </w:r>
      <w:r w:rsidR="00E45B85" w:rsidRPr="00E45B85">
        <w:rPr>
          <w:rFonts w:ascii="Century Gothic" w:hAnsi="Century Gothic" w:cstheme="minorHAnsi"/>
          <w:i/>
          <w:iCs/>
          <w:sz w:val="21"/>
          <w:szCs w:val="21"/>
        </w:rPr>
        <w:t>Enseñanza</w:t>
      </w:r>
      <w:r w:rsidR="00E45B85">
        <w:rPr>
          <w:rFonts w:ascii="Century Gothic" w:hAnsi="Century Gothic" w:cstheme="minorHAnsi"/>
          <w:sz w:val="21"/>
          <w:szCs w:val="21"/>
        </w:rPr>
        <w:t xml:space="preserve"> lo logran a costa de altos IA de 75, 71 y 67, respectivamente, </w:t>
      </w:r>
      <w:r w:rsidR="00E45B85" w:rsidRPr="001824E0">
        <w:rPr>
          <w:rFonts w:ascii="Century Gothic" w:hAnsi="Century Gothic" w:cstheme="minorHAnsi"/>
          <w:sz w:val="21"/>
          <w:szCs w:val="21"/>
        </w:rPr>
        <w:t xml:space="preserve">explicados por el </w:t>
      </w:r>
      <w:r w:rsidR="00BF1478" w:rsidRPr="001824E0">
        <w:rPr>
          <w:rFonts w:ascii="Century Gothic" w:hAnsi="Century Gothic" w:cstheme="minorHAnsi"/>
          <w:sz w:val="21"/>
          <w:szCs w:val="21"/>
        </w:rPr>
        <w:t>increm</w:t>
      </w:r>
      <w:r w:rsidR="00E45B85" w:rsidRPr="001824E0">
        <w:rPr>
          <w:rFonts w:ascii="Century Gothic" w:hAnsi="Century Gothic" w:cstheme="minorHAnsi"/>
          <w:sz w:val="21"/>
          <w:szCs w:val="21"/>
        </w:rPr>
        <w:t>ento de</w:t>
      </w:r>
      <w:r w:rsidR="00BF1478" w:rsidRPr="001824E0">
        <w:rPr>
          <w:rFonts w:ascii="Century Gothic" w:hAnsi="Century Gothic" w:cstheme="minorHAnsi"/>
          <w:sz w:val="21"/>
          <w:szCs w:val="21"/>
        </w:rPr>
        <w:t>l</w:t>
      </w:r>
      <w:r w:rsidR="00E45B85" w:rsidRPr="001824E0">
        <w:rPr>
          <w:rFonts w:ascii="Century Gothic" w:hAnsi="Century Gothic" w:cstheme="minorHAnsi"/>
          <w:sz w:val="21"/>
          <w:szCs w:val="21"/>
        </w:rPr>
        <w:t xml:space="preserve"> uso de agua y de generación de residuos </w:t>
      </w:r>
      <w:r w:rsidR="00E45B85" w:rsidRPr="001824E0">
        <w:rPr>
          <w:rFonts w:ascii="Century Gothic" w:hAnsi="Century Gothic" w:cstheme="minorHAnsi"/>
          <w:sz w:val="21"/>
          <w:szCs w:val="21"/>
        </w:rPr>
        <w:lastRenderedPageBreak/>
        <w:t xml:space="preserve">y/o desechos. En cambio, </w:t>
      </w:r>
      <w:r w:rsidR="00E45B85" w:rsidRPr="001824E0">
        <w:rPr>
          <w:rFonts w:ascii="Century Gothic" w:hAnsi="Century Gothic" w:cstheme="minorHAnsi"/>
          <w:i/>
          <w:iCs/>
          <w:sz w:val="21"/>
          <w:szCs w:val="21"/>
        </w:rPr>
        <w:t>Actividades financieras y de seguros</w:t>
      </w:r>
      <w:r w:rsidR="00E45B85" w:rsidRPr="001824E0">
        <w:rPr>
          <w:rFonts w:ascii="Century Gothic" w:hAnsi="Century Gothic" w:cstheme="minorHAnsi"/>
          <w:sz w:val="21"/>
          <w:szCs w:val="21"/>
        </w:rPr>
        <w:t xml:space="preserve"> logra la mejora en la eficiencia energética con el menor impacto ambiental posible (IA = 23,5).</w:t>
      </w:r>
      <w:r w:rsidR="00E45B85">
        <w:rPr>
          <w:rFonts w:ascii="Century Gothic" w:hAnsi="Century Gothic" w:cstheme="minorHAnsi"/>
          <w:sz w:val="21"/>
          <w:szCs w:val="21"/>
        </w:rPr>
        <w:t xml:space="preserve"> </w:t>
      </w:r>
    </w:p>
    <w:p w14:paraId="36F00E3B" w14:textId="77777777" w:rsidR="003C7233" w:rsidRDefault="003C7233" w:rsidP="003C7233">
      <w:pPr>
        <w:jc w:val="both"/>
        <w:rPr>
          <w:rFonts w:ascii="Century Gothic" w:hAnsi="Century Gothic" w:cstheme="minorHAnsi"/>
          <w:sz w:val="21"/>
          <w:szCs w:val="21"/>
        </w:rPr>
      </w:pPr>
    </w:p>
    <w:p w14:paraId="22013BBC" w14:textId="0670CDEC" w:rsidR="0041546E" w:rsidRPr="0041546E" w:rsidRDefault="00F34D26" w:rsidP="003C7233">
      <w:pPr>
        <w:jc w:val="both"/>
        <w:rPr>
          <w:rFonts w:ascii="Century Gothic" w:hAnsi="Century Gothic" w:cstheme="minorHAnsi"/>
          <w:sz w:val="21"/>
          <w:szCs w:val="21"/>
        </w:rPr>
      </w:pPr>
      <w:r w:rsidRPr="00806240">
        <w:rPr>
          <w:rFonts w:ascii="Century Gothic" w:hAnsi="Century Gothic" w:cstheme="minorHAnsi"/>
          <w:sz w:val="21"/>
          <w:szCs w:val="21"/>
        </w:rPr>
        <w:t>Un tópico asociado a la eficiencia energética apela al concepto</w:t>
      </w:r>
      <w:r w:rsidR="00646F55" w:rsidRPr="00806240">
        <w:rPr>
          <w:rFonts w:ascii="Century Gothic" w:hAnsi="Century Gothic" w:cstheme="minorHAnsi"/>
          <w:sz w:val="21"/>
          <w:szCs w:val="21"/>
        </w:rPr>
        <w:t xml:space="preserve"> de </w:t>
      </w:r>
      <w:r w:rsidRPr="00806240">
        <w:rPr>
          <w:rFonts w:ascii="Century Gothic" w:hAnsi="Century Gothic" w:cstheme="minorHAnsi"/>
          <w:sz w:val="21"/>
          <w:szCs w:val="21"/>
        </w:rPr>
        <w:t>“</w:t>
      </w:r>
      <w:r w:rsidR="00646F55" w:rsidRPr="00806240">
        <w:rPr>
          <w:rFonts w:ascii="Century Gothic" w:hAnsi="Century Gothic" w:cstheme="minorHAnsi"/>
          <w:i/>
          <w:iCs/>
          <w:sz w:val="21"/>
          <w:szCs w:val="21"/>
        </w:rPr>
        <w:t>desacoplamiento material</w:t>
      </w:r>
      <w:r w:rsidRPr="00806240">
        <w:rPr>
          <w:rFonts w:ascii="Century Gothic" w:hAnsi="Century Gothic" w:cstheme="minorHAnsi"/>
          <w:sz w:val="21"/>
          <w:szCs w:val="21"/>
        </w:rPr>
        <w:t>”, el cual</w:t>
      </w:r>
      <w:r w:rsidR="00646F55" w:rsidRPr="00806240">
        <w:rPr>
          <w:rFonts w:ascii="Century Gothic" w:hAnsi="Century Gothic" w:cstheme="minorHAnsi"/>
          <w:sz w:val="21"/>
          <w:szCs w:val="21"/>
        </w:rPr>
        <w:t xml:space="preserve"> cobra cada vez mayor vigencia e interés</w:t>
      </w:r>
      <w:r w:rsidR="00646F55" w:rsidRPr="00806240">
        <w:rPr>
          <w:rStyle w:val="Refdenotaalpie"/>
          <w:rFonts w:ascii="Century Gothic" w:hAnsi="Century Gothic" w:cstheme="minorHAnsi"/>
          <w:sz w:val="21"/>
          <w:szCs w:val="21"/>
        </w:rPr>
        <w:footnoteReference w:id="8"/>
      </w:r>
      <w:r w:rsidR="00646F55" w:rsidRPr="00806240">
        <w:rPr>
          <w:rFonts w:ascii="Century Gothic" w:hAnsi="Century Gothic" w:cstheme="minorHAnsi"/>
          <w:sz w:val="21"/>
          <w:szCs w:val="21"/>
        </w:rPr>
        <w:t xml:space="preserve">. </w:t>
      </w:r>
      <w:r w:rsidRPr="00806240">
        <w:rPr>
          <w:rFonts w:ascii="Century Gothic" w:hAnsi="Century Gothic" w:cstheme="minorHAnsi"/>
          <w:sz w:val="21"/>
          <w:szCs w:val="21"/>
        </w:rPr>
        <w:t>Uno de los indicadores más comunes que miden ese concepto e</w:t>
      </w:r>
      <w:r w:rsidR="00646F55" w:rsidRPr="00806240">
        <w:rPr>
          <w:rFonts w:ascii="Century Gothic" w:hAnsi="Century Gothic" w:cstheme="minorHAnsi"/>
          <w:sz w:val="21"/>
          <w:szCs w:val="21"/>
        </w:rPr>
        <w:t xml:space="preserve">s </w:t>
      </w:r>
      <w:r w:rsidRPr="00806240">
        <w:rPr>
          <w:rFonts w:ascii="Century Gothic" w:hAnsi="Century Gothic" w:cstheme="minorHAnsi"/>
          <w:sz w:val="21"/>
          <w:szCs w:val="21"/>
        </w:rPr>
        <w:t>el</w:t>
      </w:r>
      <w:r w:rsidR="00646F55" w:rsidRPr="00806240">
        <w:rPr>
          <w:rFonts w:ascii="Century Gothic" w:hAnsi="Century Gothic" w:cstheme="minorHAnsi"/>
          <w:sz w:val="21"/>
          <w:szCs w:val="21"/>
        </w:rPr>
        <w:t xml:space="preserve"> indicador de acoplamiento económico-ambiental denominado </w:t>
      </w:r>
      <w:r w:rsidR="00646F55" w:rsidRPr="00806240">
        <w:rPr>
          <w:rFonts w:ascii="Century Gothic" w:hAnsi="Century Gothic" w:cstheme="minorHAnsi"/>
          <w:b/>
          <w:i/>
          <w:sz w:val="21"/>
          <w:szCs w:val="21"/>
        </w:rPr>
        <w:t>Intensidad Energética</w:t>
      </w:r>
      <w:r w:rsidR="00BF1478" w:rsidRPr="00806240">
        <w:rPr>
          <w:rFonts w:ascii="Century Gothic" w:hAnsi="Century Gothic" w:cstheme="minorHAnsi"/>
          <w:sz w:val="21"/>
          <w:szCs w:val="21"/>
        </w:rPr>
        <w:t>.</w:t>
      </w:r>
      <w:r w:rsidR="00646F55" w:rsidRPr="00806240">
        <w:rPr>
          <w:rFonts w:ascii="Century Gothic" w:hAnsi="Century Gothic" w:cstheme="minorHAnsi"/>
          <w:sz w:val="21"/>
          <w:szCs w:val="21"/>
        </w:rPr>
        <w:t xml:space="preserve"> Este indicador forma parte del Sistema Integrado de Producción Verde (SIPV) de la CEPAL, el cual lo entrega también el Módulo </w:t>
      </w:r>
      <w:r w:rsidR="0041546E" w:rsidRPr="00806240">
        <w:rPr>
          <w:rFonts w:ascii="Century Gothic" w:hAnsi="Century Gothic" w:cstheme="minorHAnsi"/>
          <w:sz w:val="21"/>
          <w:szCs w:val="21"/>
        </w:rPr>
        <w:t xml:space="preserve">Ambiental </w:t>
      </w:r>
      <w:r w:rsidR="00157A37" w:rsidRPr="00806240">
        <w:rPr>
          <w:rFonts w:ascii="Century Gothic" w:hAnsi="Century Gothic" w:cstheme="minorHAnsi"/>
          <w:sz w:val="21"/>
          <w:szCs w:val="21"/>
        </w:rPr>
        <w:t xml:space="preserve">Económica </w:t>
      </w:r>
      <w:r w:rsidR="0041546E" w:rsidRPr="00806240">
        <w:rPr>
          <w:rFonts w:ascii="Century Gothic" w:hAnsi="Century Gothic" w:cstheme="minorHAnsi"/>
          <w:sz w:val="21"/>
          <w:szCs w:val="21"/>
        </w:rPr>
        <w:t>de la ENESEM.</w:t>
      </w:r>
    </w:p>
    <w:p w14:paraId="2C222267" w14:textId="77777777" w:rsidR="0041546E" w:rsidRPr="0041546E" w:rsidRDefault="0041546E" w:rsidP="00646F55">
      <w:pPr>
        <w:jc w:val="both"/>
        <w:rPr>
          <w:rFonts w:ascii="Century Gothic" w:hAnsi="Century Gothic" w:cstheme="minorHAnsi"/>
          <w:sz w:val="21"/>
          <w:szCs w:val="21"/>
        </w:rPr>
      </w:pPr>
    </w:p>
    <w:p w14:paraId="0C3587FF" w14:textId="53E5A07D" w:rsidR="00646F55" w:rsidRPr="00646F55" w:rsidRDefault="0092758E" w:rsidP="00646F55">
      <w:pPr>
        <w:pStyle w:val="Descripcin"/>
        <w:keepNext/>
        <w:jc w:val="both"/>
        <w:rPr>
          <w:b/>
          <w:i w:val="0"/>
        </w:rPr>
      </w:pPr>
      <w:bookmarkStart w:id="15" w:name="_Toc132722359"/>
      <w:r w:rsidRPr="00312243">
        <w:rPr>
          <w:rFonts w:cstheme="minorHAnsi"/>
          <w:b/>
          <w:i w:val="0"/>
          <w:iCs w:val="0"/>
          <w:color w:val="auto"/>
          <w:sz w:val="16"/>
          <w:szCs w:val="16"/>
        </w:rPr>
        <w:t xml:space="preserve">Figura </w:t>
      </w:r>
      <w:r w:rsidRPr="00312243">
        <w:rPr>
          <w:rFonts w:cstheme="minorHAnsi"/>
          <w:b/>
          <w:i w:val="0"/>
          <w:iCs w:val="0"/>
          <w:color w:val="auto"/>
          <w:sz w:val="16"/>
          <w:szCs w:val="16"/>
        </w:rPr>
        <w:fldChar w:fldCharType="begin"/>
      </w:r>
      <w:r w:rsidRPr="00312243">
        <w:rPr>
          <w:rFonts w:cstheme="minorHAnsi"/>
          <w:b/>
          <w:i w:val="0"/>
          <w:iCs w:val="0"/>
          <w:color w:val="auto"/>
          <w:sz w:val="16"/>
          <w:szCs w:val="16"/>
        </w:rPr>
        <w:instrText xml:space="preserve"> SEQ Figura \* ARABIC </w:instrText>
      </w:r>
      <w:r w:rsidRPr="00312243">
        <w:rPr>
          <w:rFonts w:cstheme="minorHAnsi"/>
          <w:b/>
          <w:i w:val="0"/>
          <w:iCs w:val="0"/>
          <w:color w:val="auto"/>
          <w:sz w:val="16"/>
          <w:szCs w:val="16"/>
        </w:rPr>
        <w:fldChar w:fldCharType="separate"/>
      </w:r>
      <w:r>
        <w:rPr>
          <w:rFonts w:cstheme="minorHAnsi"/>
          <w:b/>
          <w:i w:val="0"/>
          <w:iCs w:val="0"/>
          <w:noProof/>
          <w:color w:val="auto"/>
          <w:sz w:val="16"/>
          <w:szCs w:val="16"/>
        </w:rPr>
        <w:t>6</w:t>
      </w:r>
      <w:r w:rsidRPr="00312243">
        <w:rPr>
          <w:rFonts w:cstheme="minorHAnsi"/>
          <w:b/>
          <w:i w:val="0"/>
          <w:iCs w:val="0"/>
          <w:color w:val="auto"/>
          <w:sz w:val="16"/>
          <w:szCs w:val="16"/>
        </w:rPr>
        <w:fldChar w:fldCharType="end"/>
      </w:r>
      <w:r w:rsidR="00646F55" w:rsidRPr="00F234E6">
        <w:rPr>
          <w:b/>
          <w:bCs/>
          <w:i w:val="0"/>
          <w:iCs w:val="0"/>
          <w:color w:val="auto"/>
          <w:sz w:val="16"/>
        </w:rPr>
        <w:t>.</w:t>
      </w:r>
      <w:r w:rsidR="00646F55" w:rsidRPr="00F234E6">
        <w:rPr>
          <w:rFonts w:cs="Calibri"/>
          <w:b/>
          <w:i w:val="0"/>
          <w:sz w:val="16"/>
        </w:rPr>
        <w:t xml:space="preserve"> </w:t>
      </w:r>
      <w:r w:rsidR="00646F55" w:rsidRPr="00F234E6">
        <w:rPr>
          <w:rFonts w:cs="Calibri"/>
          <w:i w:val="0"/>
          <w:color w:val="auto"/>
          <w:sz w:val="16"/>
        </w:rPr>
        <w:t>Intensidad energética*</w:t>
      </w:r>
      <w:r w:rsidR="00646F55" w:rsidRPr="00F234E6">
        <w:rPr>
          <w:rFonts w:cs="Calibri"/>
          <w:i w:val="0"/>
          <w:color w:val="auto"/>
          <w:sz w:val="16"/>
          <w:szCs w:val="16"/>
        </w:rPr>
        <w:t xml:space="preserve"> (MJ / US$ corrientes)</w:t>
      </w:r>
      <w:r w:rsidR="00646F55" w:rsidRPr="00F234E6">
        <w:rPr>
          <w:rFonts w:cs="Calibri"/>
          <w:i w:val="0"/>
          <w:color w:val="auto"/>
          <w:sz w:val="16"/>
        </w:rPr>
        <w:t>, por actividad económica (</w:t>
      </w:r>
      <w:r w:rsidR="003540AD" w:rsidRPr="00F234E6">
        <w:rPr>
          <w:rFonts w:cs="Calibri"/>
          <w:i w:val="0"/>
          <w:color w:val="auto"/>
          <w:sz w:val="16"/>
        </w:rPr>
        <w:t>20</w:t>
      </w:r>
      <w:r w:rsidR="0083738A">
        <w:rPr>
          <w:rFonts w:cs="Calibri"/>
          <w:i w:val="0"/>
          <w:color w:val="auto"/>
          <w:sz w:val="16"/>
        </w:rPr>
        <w:t>20</w:t>
      </w:r>
      <w:r w:rsidR="00646F55" w:rsidRPr="00F234E6">
        <w:rPr>
          <w:rFonts w:cs="Calibri"/>
          <w:i w:val="0"/>
          <w:color w:val="auto"/>
          <w:sz w:val="16"/>
        </w:rPr>
        <w:t>-</w:t>
      </w:r>
      <w:r w:rsidR="003540AD" w:rsidRPr="00F234E6">
        <w:rPr>
          <w:rFonts w:cs="Calibri"/>
          <w:i w:val="0"/>
          <w:color w:val="auto"/>
          <w:sz w:val="16"/>
        </w:rPr>
        <w:t>202</w:t>
      </w:r>
      <w:r w:rsidR="0083738A">
        <w:rPr>
          <w:rFonts w:cs="Calibri"/>
          <w:i w:val="0"/>
          <w:color w:val="auto"/>
          <w:sz w:val="16"/>
        </w:rPr>
        <w:t>1</w:t>
      </w:r>
      <w:r w:rsidR="00646F55" w:rsidRPr="00F234E6">
        <w:rPr>
          <w:rFonts w:cs="Calibri"/>
          <w:i w:val="0"/>
          <w:color w:val="auto"/>
          <w:sz w:val="16"/>
        </w:rPr>
        <w:t>).</w:t>
      </w:r>
      <w:bookmarkEnd w:id="15"/>
    </w:p>
    <w:p w14:paraId="7CAF09DD" w14:textId="69FCCD91" w:rsidR="00646F55" w:rsidRPr="00646F55" w:rsidRDefault="0083738A" w:rsidP="00646F55">
      <w:pPr>
        <w:jc w:val="both"/>
        <w:rPr>
          <w:rFonts w:ascii="Century Gothic" w:hAnsi="Century Gothic" w:cs="Times New Roman"/>
          <w:sz w:val="20"/>
          <w:szCs w:val="20"/>
          <w:lang w:eastAsia="es-ES_tradnl"/>
        </w:rPr>
      </w:pPr>
      <w:r>
        <w:rPr>
          <w:noProof/>
        </w:rPr>
        <w:drawing>
          <wp:inline distT="0" distB="0" distL="0" distR="0" wp14:anchorId="22671695" wp14:editId="44DBDD8B">
            <wp:extent cx="2473325" cy="3130550"/>
            <wp:effectExtent l="0" t="0" r="3175" b="12700"/>
            <wp:docPr id="17" name="Gráfico 17">
              <a:extLst xmlns:a="http://schemas.openxmlformats.org/drawingml/2006/main">
                <a:ext uri="{FF2B5EF4-FFF2-40B4-BE49-F238E27FC236}">
                  <a16:creationId xmlns:a16="http://schemas.microsoft.com/office/drawing/2014/main" id="{00000000-0008-0000-0D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21A6762" w14:textId="77777777" w:rsidR="00646F55" w:rsidRPr="00646F55" w:rsidRDefault="00646F55" w:rsidP="00646F55">
      <w:pPr>
        <w:jc w:val="both"/>
        <w:rPr>
          <w:rFonts w:ascii="Century Gothic" w:hAnsi="Century Gothic" w:cs="Times New Roman"/>
          <w:sz w:val="14"/>
          <w:szCs w:val="20"/>
          <w:lang w:eastAsia="es-ES_tradnl"/>
        </w:rPr>
      </w:pPr>
    </w:p>
    <w:p w14:paraId="29FCFD6F" w14:textId="6B1AF81F"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Fuente:</w:t>
      </w:r>
      <w:r w:rsidRPr="00646F55">
        <w:rPr>
          <w:rFonts w:ascii="Century Gothic" w:hAnsi="Century Gothic" w:cs="Calibri"/>
          <w:color w:val="404040" w:themeColor="text1" w:themeTint="BF"/>
          <w:sz w:val="14"/>
          <w:szCs w:val="14"/>
        </w:rPr>
        <w:t xml:space="preserve"> Módulo Ambiental </w:t>
      </w:r>
      <w:r w:rsidR="004C1042">
        <w:rPr>
          <w:rFonts w:ascii="Century Gothic" w:hAnsi="Century Gothic" w:cs="Calibri"/>
          <w:color w:val="404040" w:themeColor="text1" w:themeTint="BF"/>
          <w:sz w:val="14"/>
          <w:szCs w:val="14"/>
        </w:rPr>
        <w:t xml:space="preserve">Económica </w:t>
      </w:r>
      <w:r w:rsidRPr="00646F55">
        <w:rPr>
          <w:rFonts w:ascii="Century Gothic" w:hAnsi="Century Gothic" w:cs="Calibri"/>
          <w:color w:val="404040" w:themeColor="text1" w:themeTint="BF"/>
          <w:sz w:val="14"/>
          <w:szCs w:val="14"/>
        </w:rPr>
        <w:t xml:space="preserve">ENESEM </w:t>
      </w:r>
      <w:r w:rsidR="003540AD">
        <w:rPr>
          <w:rFonts w:ascii="Century Gothic" w:hAnsi="Century Gothic" w:cs="Calibri"/>
          <w:color w:val="404040" w:themeColor="text1" w:themeTint="BF"/>
          <w:sz w:val="14"/>
          <w:szCs w:val="14"/>
        </w:rPr>
        <w:t>20</w:t>
      </w:r>
      <w:r w:rsidR="0083738A">
        <w:rPr>
          <w:rFonts w:ascii="Century Gothic" w:hAnsi="Century Gothic" w:cs="Calibri"/>
          <w:color w:val="404040" w:themeColor="text1" w:themeTint="BF"/>
          <w:sz w:val="14"/>
          <w:szCs w:val="14"/>
        </w:rPr>
        <w:t>20</w:t>
      </w:r>
      <w:r w:rsidRPr="00646F55">
        <w:rPr>
          <w:rFonts w:ascii="Century Gothic" w:hAnsi="Century Gothic" w:cs="Calibri"/>
          <w:color w:val="404040" w:themeColor="text1" w:themeTint="BF"/>
          <w:sz w:val="14"/>
          <w:szCs w:val="14"/>
        </w:rPr>
        <w:t>-</w:t>
      </w:r>
      <w:r w:rsidR="003540AD">
        <w:rPr>
          <w:rFonts w:ascii="Century Gothic" w:hAnsi="Century Gothic" w:cs="Calibri"/>
          <w:color w:val="404040" w:themeColor="text1" w:themeTint="BF"/>
          <w:sz w:val="14"/>
          <w:szCs w:val="14"/>
        </w:rPr>
        <w:t>202</w:t>
      </w:r>
      <w:r w:rsidR="0083738A">
        <w:rPr>
          <w:rFonts w:ascii="Century Gothic" w:hAnsi="Century Gothic" w:cs="Calibri"/>
          <w:color w:val="404040" w:themeColor="text1" w:themeTint="BF"/>
          <w:sz w:val="14"/>
          <w:szCs w:val="14"/>
        </w:rPr>
        <w:t>1</w:t>
      </w:r>
      <w:r w:rsidRPr="00646F55">
        <w:rPr>
          <w:rFonts w:ascii="Century Gothic" w:hAnsi="Century Gothic" w:cs="Calibri"/>
          <w:color w:val="404040" w:themeColor="text1" w:themeTint="BF"/>
          <w:sz w:val="14"/>
          <w:szCs w:val="14"/>
        </w:rPr>
        <w:t>.</w:t>
      </w:r>
    </w:p>
    <w:p w14:paraId="69935534" w14:textId="77777777" w:rsidR="00646F55" w:rsidRPr="00646F55" w:rsidRDefault="00646F55" w:rsidP="00646F55">
      <w:pPr>
        <w:jc w:val="both"/>
        <w:rPr>
          <w:rFonts w:ascii="Century Gothic" w:hAnsi="Century Gothic" w:cs="Calibri"/>
          <w:color w:val="404040" w:themeColor="text1" w:themeTint="BF"/>
          <w:sz w:val="14"/>
          <w:szCs w:val="14"/>
        </w:rPr>
      </w:pPr>
    </w:p>
    <w:p w14:paraId="5438897A" w14:textId="29EEB553" w:rsidR="00646F55" w:rsidRDefault="00AF1644" w:rsidP="00AF1644">
      <w:pPr>
        <w:jc w:val="both"/>
        <w:rPr>
          <w:rFonts w:ascii="Century Gothic" w:hAnsi="Century Gothic" w:cs="Calibri"/>
          <w:color w:val="404040" w:themeColor="text1" w:themeTint="BF"/>
          <w:sz w:val="14"/>
          <w:szCs w:val="14"/>
        </w:rPr>
      </w:pPr>
      <w:r>
        <w:rPr>
          <w:rFonts w:ascii="Century Gothic" w:hAnsi="Century Gothic" w:cs="Calibri"/>
          <w:b/>
          <w:color w:val="404040" w:themeColor="text1" w:themeTint="BF"/>
          <w:sz w:val="14"/>
          <w:szCs w:val="14"/>
        </w:rPr>
        <w:t xml:space="preserve">* </w:t>
      </w:r>
      <w:r w:rsidR="00646F55" w:rsidRPr="00646F55">
        <w:rPr>
          <w:rFonts w:ascii="Century Gothic" w:hAnsi="Century Gothic" w:cs="Calibri"/>
          <w:b/>
          <w:color w:val="404040" w:themeColor="text1" w:themeTint="BF"/>
          <w:sz w:val="14"/>
          <w:szCs w:val="14"/>
        </w:rPr>
        <w:t>Nota</w:t>
      </w:r>
      <w:r w:rsidR="00646F55" w:rsidRPr="00646F55">
        <w:rPr>
          <w:rFonts w:ascii="Century Gothic" w:hAnsi="Century Gothic" w:cs="Calibri"/>
          <w:color w:val="404040" w:themeColor="text1" w:themeTint="BF"/>
          <w:sz w:val="14"/>
          <w:szCs w:val="14"/>
        </w:rPr>
        <w:t xml:space="preserve">: Se excluye del cálculo del indicador al sector D. </w:t>
      </w:r>
      <w:r w:rsidR="00646F55" w:rsidRPr="00646F55">
        <w:rPr>
          <w:rFonts w:ascii="Century Gothic" w:hAnsi="Century Gothic" w:cs="Calibri"/>
          <w:i/>
          <w:color w:val="404040" w:themeColor="text1" w:themeTint="BF"/>
          <w:sz w:val="14"/>
          <w:szCs w:val="14"/>
        </w:rPr>
        <w:t>Suministro de electricidad, gas, vapor y aire acondicionado</w:t>
      </w:r>
      <w:r w:rsidR="00646F55" w:rsidRPr="00646F55">
        <w:rPr>
          <w:rFonts w:ascii="Century Gothic" w:hAnsi="Century Gothic" w:cs="Calibri"/>
          <w:color w:val="404040" w:themeColor="text1" w:themeTint="BF"/>
          <w:sz w:val="14"/>
          <w:szCs w:val="14"/>
        </w:rPr>
        <w:t>, pues sus empresas no son consumidoras finales de energía eléctrica ni de otras energías como las generadas por la combustión de hidrocarburos.</w:t>
      </w:r>
    </w:p>
    <w:p w14:paraId="3CE9BEBC" w14:textId="67DB0657" w:rsidR="006604CA" w:rsidRPr="00A01EFF" w:rsidRDefault="006604CA" w:rsidP="006604CA">
      <w:pPr>
        <w:jc w:val="both"/>
        <w:rPr>
          <w:rFonts w:ascii="Century Gothic" w:hAnsi="Century Gothic" w:cs="Times New Roman"/>
          <w:sz w:val="22"/>
          <w:szCs w:val="22"/>
          <w:lang w:val="es-ES_tradnl" w:eastAsia="es-ES_tradnl"/>
        </w:rPr>
      </w:pPr>
      <w:r w:rsidRPr="00F234E6">
        <w:rPr>
          <w:rFonts w:ascii="Century Gothic" w:hAnsi="Century Gothic" w:cstheme="minorHAnsi"/>
          <w:sz w:val="21"/>
          <w:szCs w:val="21"/>
        </w:rPr>
        <w:t xml:space="preserve">En la Figura </w:t>
      </w:r>
      <w:r w:rsidR="00D707CF">
        <w:rPr>
          <w:rFonts w:ascii="Century Gothic" w:hAnsi="Century Gothic" w:cstheme="minorHAnsi"/>
          <w:sz w:val="21"/>
          <w:szCs w:val="21"/>
        </w:rPr>
        <w:t>6</w:t>
      </w:r>
      <w:r w:rsidRPr="00F234E6">
        <w:rPr>
          <w:rFonts w:ascii="Century Gothic" w:hAnsi="Century Gothic" w:cstheme="minorHAnsi"/>
          <w:sz w:val="21"/>
          <w:szCs w:val="21"/>
        </w:rPr>
        <w:t xml:space="preserve"> se muestra la intensidad energética por actividad económica en los años 20</w:t>
      </w:r>
      <w:r w:rsidR="00D707CF">
        <w:rPr>
          <w:rFonts w:ascii="Century Gothic" w:hAnsi="Century Gothic" w:cstheme="minorHAnsi"/>
          <w:sz w:val="21"/>
          <w:szCs w:val="21"/>
        </w:rPr>
        <w:t>20</w:t>
      </w:r>
      <w:r w:rsidRPr="00F234E6">
        <w:rPr>
          <w:rFonts w:ascii="Century Gothic" w:hAnsi="Century Gothic" w:cstheme="minorHAnsi"/>
          <w:sz w:val="21"/>
          <w:szCs w:val="21"/>
        </w:rPr>
        <w:t xml:space="preserve"> y 202</w:t>
      </w:r>
      <w:r w:rsidR="00D707CF">
        <w:rPr>
          <w:rFonts w:ascii="Century Gothic" w:hAnsi="Century Gothic" w:cstheme="minorHAnsi"/>
          <w:sz w:val="21"/>
          <w:szCs w:val="21"/>
        </w:rPr>
        <w:t>1</w:t>
      </w:r>
      <w:r w:rsidRPr="00F234E6">
        <w:rPr>
          <w:rFonts w:ascii="Century Gothic" w:hAnsi="Century Gothic" w:cstheme="minorHAnsi"/>
          <w:sz w:val="21"/>
          <w:szCs w:val="21"/>
        </w:rPr>
        <w:t xml:space="preserve">. </w:t>
      </w:r>
      <w:r w:rsidRPr="00F234E6">
        <w:rPr>
          <w:rFonts w:ascii="Century Gothic" w:hAnsi="Century Gothic" w:cs="Times New Roman"/>
          <w:sz w:val="21"/>
          <w:szCs w:val="21"/>
          <w:lang w:val="es-ES_tradnl" w:eastAsia="es-ES_tradnl"/>
        </w:rPr>
        <w:t xml:space="preserve">Este indicador se asocia con la eficiencia de las empresas con respecto al uso de energía, sea de origen primario, como son los combustibles fósiles, o secundario, como es la energía termoeléctrica. </w:t>
      </w:r>
      <w:r w:rsidR="00A01EFF">
        <w:rPr>
          <w:rFonts w:ascii="Century Gothic" w:hAnsi="Century Gothic" w:cs="Times New Roman"/>
          <w:sz w:val="21"/>
          <w:szCs w:val="21"/>
          <w:lang w:val="es-ES_tradnl" w:eastAsia="es-ES_tradnl"/>
        </w:rPr>
        <w:t>Si</w:t>
      </w:r>
      <w:r w:rsidRPr="00F234E6">
        <w:rPr>
          <w:rFonts w:ascii="Century Gothic" w:hAnsi="Century Gothic" w:cs="Times New Roman"/>
          <w:sz w:val="21"/>
          <w:szCs w:val="21"/>
          <w:lang w:val="es-ES_tradnl" w:eastAsia="es-ES_tradnl"/>
        </w:rPr>
        <w:t xml:space="preserve"> la tendencia </w:t>
      </w:r>
      <w:r w:rsidR="00A01EFF">
        <w:rPr>
          <w:rFonts w:ascii="Century Gothic" w:hAnsi="Century Gothic" w:cs="Times New Roman"/>
          <w:sz w:val="21"/>
          <w:szCs w:val="21"/>
          <w:lang w:val="es-ES_tradnl" w:eastAsia="es-ES_tradnl"/>
        </w:rPr>
        <w:t xml:space="preserve">del indicador es </w:t>
      </w:r>
      <w:r w:rsidRPr="00F234E6">
        <w:rPr>
          <w:rFonts w:ascii="Century Gothic" w:hAnsi="Century Gothic" w:cs="Times New Roman"/>
          <w:sz w:val="21"/>
          <w:szCs w:val="21"/>
          <w:lang w:val="es-ES_tradnl" w:eastAsia="es-ES_tradnl"/>
        </w:rPr>
        <w:t>decreciente</w:t>
      </w:r>
      <w:r w:rsidR="00A01EFF">
        <w:rPr>
          <w:rFonts w:ascii="Century Gothic" w:hAnsi="Century Gothic" w:cs="Times New Roman"/>
          <w:sz w:val="21"/>
          <w:szCs w:val="21"/>
          <w:lang w:val="es-ES_tradnl" w:eastAsia="es-ES_tradnl"/>
        </w:rPr>
        <w:t xml:space="preserve"> </w:t>
      </w:r>
      <w:r w:rsidRPr="00F234E6">
        <w:rPr>
          <w:rFonts w:ascii="Century Gothic" w:hAnsi="Century Gothic" w:cs="Times New Roman"/>
          <w:sz w:val="21"/>
          <w:szCs w:val="21"/>
          <w:lang w:val="es-ES_tradnl" w:eastAsia="es-ES_tradnl"/>
        </w:rPr>
        <w:t>en el tiempo para una determinada actividad económica</w:t>
      </w:r>
      <w:r w:rsidR="00A01EFF">
        <w:rPr>
          <w:rFonts w:ascii="Century Gothic" w:hAnsi="Century Gothic" w:cs="Times New Roman"/>
          <w:sz w:val="21"/>
          <w:szCs w:val="21"/>
          <w:lang w:val="es-ES_tradnl" w:eastAsia="es-ES_tradnl"/>
        </w:rPr>
        <w:t>,</w:t>
      </w:r>
      <w:r w:rsidRPr="00F234E6">
        <w:rPr>
          <w:rFonts w:ascii="Century Gothic" w:hAnsi="Century Gothic" w:cs="Times New Roman"/>
          <w:sz w:val="21"/>
          <w:szCs w:val="21"/>
          <w:lang w:val="es-ES_tradnl" w:eastAsia="es-ES_tradnl"/>
        </w:rPr>
        <w:t xml:space="preserve"> </w:t>
      </w:r>
      <w:r w:rsidR="00A01EFF">
        <w:rPr>
          <w:rFonts w:ascii="Century Gothic" w:hAnsi="Century Gothic" w:cs="Times New Roman"/>
          <w:sz w:val="21"/>
          <w:szCs w:val="21"/>
          <w:lang w:val="es-ES_tradnl" w:eastAsia="es-ES_tradnl"/>
        </w:rPr>
        <w:t>implica</w:t>
      </w:r>
      <w:r w:rsidRPr="00F234E6">
        <w:rPr>
          <w:rFonts w:ascii="Century Gothic" w:hAnsi="Century Gothic" w:cs="Times New Roman"/>
          <w:sz w:val="21"/>
          <w:szCs w:val="21"/>
          <w:lang w:val="es-ES_tradnl" w:eastAsia="es-ES_tradnl"/>
        </w:rPr>
        <w:t xml:space="preserve"> que</w:t>
      </w:r>
      <w:r w:rsidR="0084395D">
        <w:rPr>
          <w:rFonts w:ascii="Century Gothic" w:hAnsi="Century Gothic" w:cs="Times New Roman"/>
          <w:sz w:val="21"/>
          <w:szCs w:val="21"/>
          <w:lang w:val="es-ES_tradnl" w:eastAsia="es-ES_tradnl"/>
        </w:rPr>
        <w:t xml:space="preserve"> los</w:t>
      </w:r>
      <w:r w:rsidRPr="00F234E6">
        <w:rPr>
          <w:rFonts w:ascii="Century Gothic" w:hAnsi="Century Gothic" w:cs="Times New Roman"/>
          <w:sz w:val="21"/>
          <w:szCs w:val="21"/>
          <w:lang w:val="es-ES_tradnl" w:eastAsia="es-ES_tradnl"/>
        </w:rPr>
        <w:t xml:space="preserve"> procesos productivos </w:t>
      </w:r>
      <w:r w:rsidR="0084395D">
        <w:rPr>
          <w:rFonts w:ascii="Century Gothic" w:hAnsi="Century Gothic" w:cs="Times New Roman"/>
          <w:sz w:val="21"/>
          <w:szCs w:val="21"/>
          <w:lang w:val="es-ES_tradnl" w:eastAsia="es-ES_tradnl"/>
        </w:rPr>
        <w:t xml:space="preserve">de sus empresas </w:t>
      </w:r>
      <w:r w:rsidRPr="00F234E6">
        <w:rPr>
          <w:rFonts w:ascii="Century Gothic" w:hAnsi="Century Gothic" w:cs="Times New Roman"/>
          <w:sz w:val="21"/>
          <w:szCs w:val="21"/>
          <w:lang w:val="es-ES_tradnl" w:eastAsia="es-ES_tradnl"/>
        </w:rPr>
        <w:t>están en</w:t>
      </w:r>
      <w:r w:rsidRPr="00A01EFF">
        <w:rPr>
          <w:rFonts w:ascii="Century Gothic" w:hAnsi="Century Gothic" w:cs="Times New Roman"/>
          <w:sz w:val="21"/>
          <w:szCs w:val="21"/>
          <w:lang w:val="es-ES_tradnl" w:eastAsia="es-ES_tradnl"/>
        </w:rPr>
        <w:t xml:space="preserve"> desacoplamiento material.</w:t>
      </w:r>
    </w:p>
    <w:p w14:paraId="50D956F4" w14:textId="77777777" w:rsidR="006604CA" w:rsidRDefault="006604CA" w:rsidP="00646F55">
      <w:pPr>
        <w:jc w:val="both"/>
        <w:rPr>
          <w:rFonts w:ascii="Century Gothic" w:hAnsi="Century Gothic" w:cs="Times New Roman"/>
          <w:sz w:val="21"/>
          <w:szCs w:val="21"/>
          <w:lang w:val="es-ES_tradnl" w:eastAsia="es-ES_tradnl"/>
        </w:rPr>
      </w:pPr>
    </w:p>
    <w:p w14:paraId="0891C9D2" w14:textId="1A4027A9" w:rsidR="00646F55" w:rsidRPr="0041546E" w:rsidRDefault="00646F55" w:rsidP="00646F55">
      <w:pPr>
        <w:jc w:val="both"/>
        <w:rPr>
          <w:rFonts w:ascii="Century Gothic" w:hAnsi="Century Gothic" w:cs="Times New Roman"/>
          <w:sz w:val="21"/>
          <w:szCs w:val="21"/>
          <w:lang w:val="es-ES_tradnl" w:eastAsia="es-ES_tradnl"/>
        </w:rPr>
      </w:pPr>
      <w:r w:rsidRPr="0041546E">
        <w:rPr>
          <w:rFonts w:ascii="Century Gothic" w:hAnsi="Century Gothic" w:cs="Times New Roman"/>
          <w:sz w:val="21"/>
          <w:szCs w:val="21"/>
          <w:lang w:val="es-ES_tradnl" w:eastAsia="es-ES_tradnl"/>
        </w:rPr>
        <w:t xml:space="preserve">En definitiva, los sectores productivos estarían dependiendo menos de transformación de materias primas y más de procesos de corte intelectual o tecnológica para generar el mismo valor agregado. </w:t>
      </w:r>
      <w:r w:rsidR="00A01EFF">
        <w:rPr>
          <w:rFonts w:ascii="Century Gothic" w:hAnsi="Century Gothic" w:cs="Times New Roman"/>
          <w:sz w:val="21"/>
          <w:szCs w:val="21"/>
          <w:lang w:val="es-ES_tradnl" w:eastAsia="es-ES_tradnl"/>
        </w:rPr>
        <w:t>E</w:t>
      </w:r>
      <w:r w:rsidRPr="0041546E">
        <w:rPr>
          <w:rFonts w:ascii="Century Gothic" w:hAnsi="Century Gothic" w:cs="Times New Roman"/>
          <w:sz w:val="21"/>
          <w:szCs w:val="21"/>
          <w:lang w:val="es-ES_tradnl" w:eastAsia="es-ES_tradnl"/>
        </w:rPr>
        <w:t xml:space="preserve">s el caso de los </w:t>
      </w:r>
      <w:r w:rsidRPr="00A01EFF">
        <w:rPr>
          <w:rFonts w:ascii="Century Gothic" w:hAnsi="Century Gothic" w:cs="Times New Roman"/>
          <w:sz w:val="20"/>
          <w:szCs w:val="20"/>
          <w:lang w:val="es-ES_tradnl" w:eastAsia="es-ES_tradnl"/>
        </w:rPr>
        <w:t xml:space="preserve">sectores de servicios, </w:t>
      </w:r>
      <w:r w:rsidR="00A01EFF" w:rsidRPr="00A01EFF">
        <w:rPr>
          <w:rFonts w:ascii="Century Gothic" w:hAnsi="Century Gothic" w:cs="Times New Roman"/>
          <w:sz w:val="20"/>
          <w:szCs w:val="20"/>
          <w:lang w:val="es-ES_tradnl" w:eastAsia="es-ES_tradnl"/>
        </w:rPr>
        <w:t>como</w:t>
      </w:r>
      <w:r w:rsidRPr="0041546E">
        <w:rPr>
          <w:rFonts w:ascii="Century Gothic" w:hAnsi="Century Gothic" w:cs="Times New Roman"/>
          <w:sz w:val="21"/>
          <w:szCs w:val="21"/>
          <w:lang w:val="es-ES_tradnl" w:eastAsia="es-ES_tradnl"/>
        </w:rPr>
        <w:t xml:space="preserve"> </w:t>
      </w:r>
      <w:r w:rsidRPr="0041546E">
        <w:rPr>
          <w:rFonts w:ascii="Century Gothic" w:hAnsi="Century Gothic" w:cs="Times New Roman"/>
          <w:i/>
          <w:sz w:val="21"/>
          <w:szCs w:val="21"/>
          <w:lang w:val="es-ES_tradnl" w:eastAsia="es-ES_tradnl"/>
        </w:rPr>
        <w:t>Actividades Financieras y de seguros</w:t>
      </w:r>
      <w:r w:rsidR="00A01EFF">
        <w:rPr>
          <w:rFonts w:ascii="Century Gothic" w:hAnsi="Century Gothic" w:cs="Times New Roman"/>
          <w:sz w:val="21"/>
          <w:szCs w:val="21"/>
          <w:lang w:val="es-ES_tradnl" w:eastAsia="es-ES_tradnl"/>
        </w:rPr>
        <w:t>;</w:t>
      </w:r>
      <w:r w:rsidRPr="0041546E">
        <w:rPr>
          <w:rFonts w:ascii="Century Gothic" w:hAnsi="Century Gothic" w:cs="Times New Roman"/>
          <w:sz w:val="21"/>
          <w:szCs w:val="21"/>
          <w:lang w:val="es-ES_tradnl" w:eastAsia="es-ES_tradnl"/>
        </w:rPr>
        <w:t xml:space="preserve"> </w:t>
      </w:r>
      <w:r w:rsidRPr="0041546E">
        <w:rPr>
          <w:rFonts w:ascii="Century Gothic" w:hAnsi="Century Gothic" w:cs="Times New Roman"/>
          <w:i/>
          <w:sz w:val="21"/>
          <w:szCs w:val="21"/>
          <w:lang w:val="es-ES_tradnl" w:eastAsia="es-ES_tradnl"/>
        </w:rPr>
        <w:t>Información y Comunicación</w:t>
      </w:r>
      <w:r w:rsidR="00A01EFF">
        <w:rPr>
          <w:rFonts w:ascii="Century Gothic" w:hAnsi="Century Gothic" w:cs="Times New Roman"/>
          <w:sz w:val="21"/>
          <w:szCs w:val="21"/>
          <w:lang w:val="es-ES_tradnl" w:eastAsia="es-ES_tradnl"/>
        </w:rPr>
        <w:t xml:space="preserve">, y </w:t>
      </w:r>
      <w:r w:rsidR="00A01EFF" w:rsidRPr="00A01EFF">
        <w:rPr>
          <w:rFonts w:ascii="Century Gothic" w:hAnsi="Century Gothic" w:cs="Times New Roman"/>
          <w:i/>
          <w:iCs/>
          <w:sz w:val="21"/>
          <w:szCs w:val="21"/>
          <w:lang w:val="es-ES_tradnl" w:eastAsia="es-ES_tradnl"/>
        </w:rPr>
        <w:t>Artes, entretenimiento y recreación</w:t>
      </w:r>
      <w:r w:rsidR="00A01EFF">
        <w:rPr>
          <w:rFonts w:ascii="Century Gothic" w:hAnsi="Century Gothic" w:cs="Times New Roman"/>
          <w:sz w:val="21"/>
          <w:szCs w:val="21"/>
          <w:lang w:val="es-ES_tradnl" w:eastAsia="es-ES_tradnl"/>
        </w:rPr>
        <w:t>,</w:t>
      </w:r>
      <w:r w:rsidRPr="0041546E">
        <w:rPr>
          <w:rFonts w:ascii="Century Gothic" w:hAnsi="Century Gothic" w:cs="Times New Roman"/>
          <w:sz w:val="21"/>
          <w:szCs w:val="21"/>
          <w:lang w:val="es-ES_tradnl" w:eastAsia="es-ES_tradnl"/>
        </w:rPr>
        <w:t xml:space="preserve"> los cuales son más eficientes en el uso energético con respecto a su productividad.</w:t>
      </w:r>
    </w:p>
    <w:p w14:paraId="5BF82872" w14:textId="77777777" w:rsidR="00646F55" w:rsidRPr="0041546E" w:rsidRDefault="00646F55" w:rsidP="00646F55">
      <w:pPr>
        <w:jc w:val="both"/>
        <w:rPr>
          <w:rFonts w:ascii="Century Gothic" w:hAnsi="Century Gothic" w:cs="Times New Roman"/>
          <w:sz w:val="21"/>
          <w:szCs w:val="21"/>
          <w:lang w:val="es-ES_tradnl" w:eastAsia="es-ES_tradnl"/>
        </w:rPr>
      </w:pPr>
    </w:p>
    <w:p w14:paraId="26847862" w14:textId="125490BE" w:rsidR="00113023" w:rsidRDefault="00646F55" w:rsidP="00646F55">
      <w:pPr>
        <w:jc w:val="both"/>
        <w:rPr>
          <w:rFonts w:ascii="Century Gothic" w:hAnsi="Century Gothic" w:cs="Times New Roman"/>
          <w:sz w:val="21"/>
          <w:szCs w:val="21"/>
          <w:lang w:val="es-ES_tradnl" w:eastAsia="es-ES_tradnl"/>
        </w:rPr>
      </w:pPr>
      <w:r w:rsidRPr="006F78BD">
        <w:rPr>
          <w:rFonts w:ascii="Century Gothic" w:hAnsi="Century Gothic" w:cs="Times New Roman"/>
          <w:sz w:val="21"/>
          <w:szCs w:val="21"/>
          <w:lang w:val="es-ES_tradnl" w:eastAsia="es-ES_tradnl"/>
        </w:rPr>
        <w:t xml:space="preserve">Según los resultados del año </w:t>
      </w:r>
      <w:r w:rsidR="003540AD" w:rsidRPr="006F78BD">
        <w:rPr>
          <w:rFonts w:ascii="Century Gothic" w:hAnsi="Century Gothic" w:cs="Times New Roman"/>
          <w:sz w:val="21"/>
          <w:szCs w:val="21"/>
          <w:lang w:val="es-ES_tradnl" w:eastAsia="es-ES_tradnl"/>
        </w:rPr>
        <w:t>202</w:t>
      </w:r>
      <w:r w:rsidR="00A01EFF" w:rsidRPr="006F78BD">
        <w:rPr>
          <w:rFonts w:ascii="Century Gothic" w:hAnsi="Century Gothic" w:cs="Times New Roman"/>
          <w:sz w:val="21"/>
          <w:szCs w:val="21"/>
          <w:lang w:val="es-ES_tradnl" w:eastAsia="es-ES_tradnl"/>
        </w:rPr>
        <w:t>1</w:t>
      </w:r>
      <w:r w:rsidRPr="006F78BD">
        <w:rPr>
          <w:rFonts w:ascii="Century Gothic" w:hAnsi="Century Gothic" w:cs="Times New Roman"/>
          <w:sz w:val="21"/>
          <w:szCs w:val="21"/>
          <w:lang w:val="es-ES_tradnl" w:eastAsia="es-ES_tradnl"/>
        </w:rPr>
        <w:t xml:space="preserve">, a nivel nacional, las empresas utilizaron </w:t>
      </w:r>
      <w:r w:rsidR="00EC1B13" w:rsidRPr="006F78BD">
        <w:rPr>
          <w:rFonts w:ascii="Century Gothic" w:hAnsi="Century Gothic" w:cs="Times New Roman"/>
          <w:sz w:val="21"/>
          <w:szCs w:val="21"/>
          <w:lang w:val="es-ES_tradnl" w:eastAsia="es-ES_tradnl"/>
        </w:rPr>
        <w:t>2</w:t>
      </w:r>
      <w:r w:rsidR="00157A37" w:rsidRPr="006F78BD">
        <w:rPr>
          <w:rFonts w:ascii="Century Gothic" w:hAnsi="Century Gothic" w:cs="Times New Roman"/>
          <w:sz w:val="21"/>
          <w:szCs w:val="21"/>
          <w:lang w:val="es-ES_tradnl" w:eastAsia="es-ES_tradnl"/>
        </w:rPr>
        <w:t>,</w:t>
      </w:r>
      <w:r w:rsidR="00A01EFF" w:rsidRPr="006F78BD">
        <w:rPr>
          <w:rFonts w:ascii="Century Gothic" w:hAnsi="Century Gothic" w:cs="Times New Roman"/>
          <w:sz w:val="21"/>
          <w:szCs w:val="21"/>
          <w:lang w:val="es-ES_tradnl" w:eastAsia="es-ES_tradnl"/>
        </w:rPr>
        <w:t>36</w:t>
      </w:r>
      <w:r w:rsidRPr="006F78BD">
        <w:rPr>
          <w:rFonts w:ascii="Century Gothic" w:hAnsi="Century Gothic" w:cs="Times New Roman"/>
          <w:sz w:val="21"/>
          <w:szCs w:val="21"/>
          <w:lang w:val="es-ES_tradnl" w:eastAsia="es-ES_tradnl"/>
        </w:rPr>
        <w:t xml:space="preserve"> MJ de energía para producir un dólar de Valor Agregado Bruto (VAB), representando un</w:t>
      </w:r>
      <w:r w:rsidR="00113023" w:rsidRPr="006F78BD">
        <w:rPr>
          <w:rFonts w:ascii="Century Gothic" w:hAnsi="Century Gothic" w:cs="Times New Roman"/>
          <w:sz w:val="21"/>
          <w:szCs w:val="21"/>
          <w:lang w:val="es-ES_tradnl" w:eastAsia="es-ES_tradnl"/>
        </w:rPr>
        <w:t>a</w:t>
      </w:r>
      <w:r w:rsidRPr="006F78BD">
        <w:rPr>
          <w:rFonts w:ascii="Century Gothic" w:hAnsi="Century Gothic" w:cs="Times New Roman"/>
          <w:sz w:val="21"/>
          <w:szCs w:val="21"/>
          <w:lang w:val="es-ES_tradnl" w:eastAsia="es-ES_tradnl"/>
        </w:rPr>
        <w:t xml:space="preserve"> </w:t>
      </w:r>
      <w:r w:rsidR="00113023" w:rsidRPr="006F78BD">
        <w:rPr>
          <w:rFonts w:ascii="Century Gothic" w:hAnsi="Century Gothic" w:cs="Times New Roman"/>
          <w:sz w:val="21"/>
          <w:szCs w:val="21"/>
          <w:lang w:val="es-ES_tradnl" w:eastAsia="es-ES_tradnl"/>
        </w:rPr>
        <w:t>disminución</w:t>
      </w:r>
      <w:r w:rsidRPr="006F78BD">
        <w:rPr>
          <w:rFonts w:ascii="Century Gothic" w:hAnsi="Century Gothic" w:cs="Times New Roman"/>
          <w:sz w:val="21"/>
          <w:szCs w:val="21"/>
          <w:lang w:val="es-ES_tradnl" w:eastAsia="es-ES_tradnl"/>
        </w:rPr>
        <w:t xml:space="preserve"> del 1</w:t>
      </w:r>
      <w:r w:rsidR="00A01EFF" w:rsidRPr="006F78BD">
        <w:rPr>
          <w:rFonts w:ascii="Century Gothic" w:hAnsi="Century Gothic" w:cs="Times New Roman"/>
          <w:sz w:val="21"/>
          <w:szCs w:val="21"/>
          <w:lang w:val="es-ES_tradnl" w:eastAsia="es-ES_tradnl"/>
        </w:rPr>
        <w:t>4</w:t>
      </w:r>
      <w:r w:rsidR="00157A37" w:rsidRPr="006F78BD">
        <w:rPr>
          <w:rFonts w:ascii="Century Gothic" w:hAnsi="Century Gothic" w:cs="Times New Roman"/>
          <w:sz w:val="21"/>
          <w:szCs w:val="21"/>
          <w:lang w:val="es-ES_tradnl" w:eastAsia="es-ES_tradnl"/>
        </w:rPr>
        <w:t>,</w:t>
      </w:r>
      <w:r w:rsidR="00A01EFF" w:rsidRPr="006F78BD">
        <w:rPr>
          <w:rFonts w:ascii="Century Gothic" w:hAnsi="Century Gothic" w:cs="Times New Roman"/>
          <w:sz w:val="21"/>
          <w:szCs w:val="21"/>
          <w:lang w:val="es-ES_tradnl" w:eastAsia="es-ES_tradnl"/>
        </w:rPr>
        <w:t>20</w:t>
      </w:r>
      <w:r w:rsidRPr="006F78BD">
        <w:rPr>
          <w:rFonts w:ascii="Century Gothic" w:hAnsi="Century Gothic" w:cs="Times New Roman"/>
          <w:sz w:val="21"/>
          <w:szCs w:val="21"/>
          <w:lang w:val="es-ES_tradnl" w:eastAsia="es-ES_tradnl"/>
        </w:rPr>
        <w:t xml:space="preserve">% con respecto al año </w:t>
      </w:r>
      <w:r w:rsidR="003540AD" w:rsidRPr="006F78BD">
        <w:rPr>
          <w:rFonts w:ascii="Century Gothic" w:hAnsi="Century Gothic" w:cs="Times New Roman"/>
          <w:sz w:val="21"/>
          <w:szCs w:val="21"/>
          <w:lang w:val="es-ES_tradnl" w:eastAsia="es-ES_tradnl"/>
        </w:rPr>
        <w:t>20</w:t>
      </w:r>
      <w:r w:rsidR="00A01EFF" w:rsidRPr="006F78BD">
        <w:rPr>
          <w:rFonts w:ascii="Century Gothic" w:hAnsi="Century Gothic" w:cs="Times New Roman"/>
          <w:sz w:val="21"/>
          <w:szCs w:val="21"/>
          <w:lang w:val="es-ES_tradnl" w:eastAsia="es-ES_tradnl"/>
        </w:rPr>
        <w:t>20</w:t>
      </w:r>
      <w:r w:rsidRPr="006F78BD">
        <w:rPr>
          <w:rFonts w:ascii="Century Gothic" w:hAnsi="Century Gothic" w:cs="Times New Roman"/>
          <w:sz w:val="21"/>
          <w:szCs w:val="21"/>
          <w:lang w:val="es-ES_tradnl" w:eastAsia="es-ES_tradnl"/>
        </w:rPr>
        <w:t xml:space="preserve">. Para el </w:t>
      </w:r>
      <w:r w:rsidR="00764075">
        <w:rPr>
          <w:rFonts w:ascii="Century Gothic" w:hAnsi="Century Gothic" w:cs="Times New Roman"/>
          <w:sz w:val="21"/>
          <w:szCs w:val="21"/>
          <w:lang w:val="es-ES_tradnl" w:eastAsia="es-ES_tradnl"/>
        </w:rPr>
        <w:t>Ministerio de Energía y Minas</w:t>
      </w:r>
      <w:r w:rsidRPr="006F78BD">
        <w:rPr>
          <w:rFonts w:ascii="Century Gothic" w:hAnsi="Century Gothic" w:cs="Times New Roman"/>
          <w:sz w:val="21"/>
          <w:szCs w:val="21"/>
          <w:lang w:val="es-ES_tradnl" w:eastAsia="es-ES_tradnl"/>
        </w:rPr>
        <w:t>, el sector industrial nacional debería tener un valor de este indicador de 3</w:t>
      </w:r>
      <w:r w:rsidR="00157A37" w:rsidRPr="006F78BD">
        <w:rPr>
          <w:rFonts w:ascii="Century Gothic" w:hAnsi="Century Gothic" w:cs="Times New Roman"/>
          <w:sz w:val="21"/>
          <w:szCs w:val="21"/>
          <w:lang w:val="es-ES_tradnl" w:eastAsia="es-ES_tradnl"/>
        </w:rPr>
        <w:t>,</w:t>
      </w:r>
      <w:r w:rsidR="00EA4737" w:rsidRPr="006F78BD">
        <w:rPr>
          <w:rFonts w:ascii="Century Gothic" w:hAnsi="Century Gothic" w:cs="Times New Roman"/>
          <w:sz w:val="21"/>
          <w:szCs w:val="21"/>
          <w:lang w:val="es-ES_tradnl" w:eastAsia="es-ES_tradnl"/>
        </w:rPr>
        <w:t>68</w:t>
      </w:r>
      <w:r w:rsidRPr="006F78BD">
        <w:rPr>
          <w:rFonts w:ascii="Century Gothic" w:hAnsi="Century Gothic" w:cs="Times New Roman"/>
          <w:sz w:val="21"/>
          <w:szCs w:val="21"/>
          <w:lang w:val="es-ES_tradnl" w:eastAsia="es-ES_tradnl"/>
        </w:rPr>
        <w:t xml:space="preserve"> MJ/US$</w:t>
      </w:r>
      <w:r w:rsidRPr="006F78BD">
        <w:rPr>
          <w:rStyle w:val="Refdenotaalpie"/>
          <w:rFonts w:ascii="Century Gothic" w:hAnsi="Century Gothic" w:cs="Times New Roman"/>
          <w:sz w:val="21"/>
          <w:szCs w:val="21"/>
          <w:lang w:val="es-ES_tradnl" w:eastAsia="es-ES_tradnl"/>
        </w:rPr>
        <w:footnoteReference w:id="9"/>
      </w:r>
      <w:r w:rsidRPr="006F78BD">
        <w:rPr>
          <w:rFonts w:ascii="Century Gothic" w:hAnsi="Century Gothic" w:cs="Times New Roman"/>
          <w:sz w:val="21"/>
          <w:szCs w:val="21"/>
          <w:lang w:val="es-ES_tradnl" w:eastAsia="es-ES_tradnl"/>
        </w:rPr>
        <w:t xml:space="preserve"> en el año </w:t>
      </w:r>
      <w:r w:rsidR="003540AD" w:rsidRPr="006F78BD">
        <w:rPr>
          <w:rFonts w:ascii="Century Gothic" w:hAnsi="Century Gothic" w:cs="Times New Roman"/>
          <w:sz w:val="21"/>
          <w:szCs w:val="21"/>
          <w:lang w:val="es-ES_tradnl" w:eastAsia="es-ES_tradnl"/>
        </w:rPr>
        <w:t>202</w:t>
      </w:r>
      <w:r w:rsidR="00EA4737" w:rsidRPr="006F78BD">
        <w:rPr>
          <w:rFonts w:ascii="Century Gothic" w:hAnsi="Century Gothic" w:cs="Times New Roman"/>
          <w:sz w:val="21"/>
          <w:szCs w:val="21"/>
          <w:lang w:val="es-ES_tradnl" w:eastAsia="es-ES_tradnl"/>
        </w:rPr>
        <w:t>1</w:t>
      </w:r>
      <w:r w:rsidRPr="006F78BD">
        <w:rPr>
          <w:rFonts w:ascii="Century Gothic" w:hAnsi="Century Gothic" w:cs="Times New Roman"/>
          <w:sz w:val="21"/>
          <w:szCs w:val="21"/>
          <w:lang w:val="es-ES_tradnl" w:eastAsia="es-ES_tradnl"/>
        </w:rPr>
        <w:t xml:space="preserve">. </w:t>
      </w:r>
      <w:r w:rsidR="005350A5" w:rsidRPr="006F78BD">
        <w:rPr>
          <w:rFonts w:ascii="Century Gothic" w:hAnsi="Century Gothic" w:cs="Times New Roman"/>
          <w:sz w:val="21"/>
          <w:szCs w:val="21"/>
          <w:lang w:val="es-ES_tradnl" w:eastAsia="es-ES_tradnl"/>
        </w:rPr>
        <w:t>L</w:t>
      </w:r>
      <w:r w:rsidR="00113023" w:rsidRPr="006F78BD">
        <w:rPr>
          <w:rFonts w:ascii="Century Gothic" w:hAnsi="Century Gothic" w:cs="Times New Roman"/>
          <w:sz w:val="21"/>
          <w:szCs w:val="21"/>
          <w:lang w:val="es-ES_tradnl" w:eastAsia="es-ES_tradnl"/>
        </w:rPr>
        <w:t xml:space="preserve">a reducción real de este indicador con respecto al valor esperado es resultado </w:t>
      </w:r>
      <w:r w:rsidR="005350A5" w:rsidRPr="006F78BD">
        <w:rPr>
          <w:rFonts w:ascii="Century Gothic" w:hAnsi="Century Gothic" w:cs="Times New Roman"/>
          <w:sz w:val="21"/>
          <w:szCs w:val="21"/>
          <w:lang w:val="es-ES_tradnl" w:eastAsia="es-ES_tradnl"/>
        </w:rPr>
        <w:t xml:space="preserve">de una contracción moderada en el consumo de combustibles fósiles, así </w:t>
      </w:r>
      <w:r w:rsidR="005350A5" w:rsidRPr="006F78BD">
        <w:rPr>
          <w:rFonts w:ascii="Century Gothic" w:hAnsi="Century Gothic" w:cs="Times New Roman"/>
          <w:sz w:val="20"/>
          <w:szCs w:val="20"/>
          <w:lang w:val="es-ES_tradnl" w:eastAsia="es-ES_tradnl"/>
        </w:rPr>
        <w:t>como en reducción general de gastos</w:t>
      </w:r>
      <w:r w:rsidR="00113023" w:rsidRPr="006F78BD">
        <w:rPr>
          <w:rFonts w:ascii="Century Gothic" w:hAnsi="Century Gothic" w:cs="Times New Roman"/>
          <w:sz w:val="21"/>
          <w:szCs w:val="21"/>
          <w:lang w:val="es-ES_tradnl" w:eastAsia="es-ES_tradnl"/>
        </w:rPr>
        <w:t>.</w:t>
      </w:r>
    </w:p>
    <w:p w14:paraId="5A348F3B" w14:textId="602C0092" w:rsidR="00646F55" w:rsidRDefault="00113023" w:rsidP="00646F55">
      <w:pPr>
        <w:jc w:val="both"/>
        <w:rPr>
          <w:rFonts w:ascii="Century Gothic" w:hAnsi="Century Gothic" w:cs="Times New Roman"/>
          <w:sz w:val="21"/>
          <w:szCs w:val="21"/>
          <w:lang w:val="es-ES_tradnl" w:eastAsia="es-ES_tradnl"/>
        </w:rPr>
      </w:pPr>
      <w:r w:rsidRPr="00B8344E">
        <w:rPr>
          <w:rFonts w:ascii="Century Gothic" w:hAnsi="Century Gothic" w:cs="Times New Roman"/>
          <w:sz w:val="21"/>
          <w:szCs w:val="21"/>
          <w:lang w:val="es-ES_tradnl" w:eastAsia="es-ES_tradnl"/>
        </w:rPr>
        <w:lastRenderedPageBreak/>
        <w:t xml:space="preserve">No </w:t>
      </w:r>
      <w:r w:rsidR="00646F55" w:rsidRPr="00B8344E">
        <w:rPr>
          <w:rFonts w:ascii="Century Gothic" w:hAnsi="Century Gothic" w:cs="Times New Roman"/>
          <w:sz w:val="21"/>
          <w:szCs w:val="21"/>
          <w:lang w:val="es-ES_tradnl" w:eastAsia="es-ES_tradnl"/>
        </w:rPr>
        <w:t>obstante, en el período 201</w:t>
      </w:r>
      <w:r w:rsidR="00E37F86" w:rsidRPr="00B8344E">
        <w:rPr>
          <w:rFonts w:ascii="Century Gothic" w:hAnsi="Century Gothic" w:cs="Times New Roman"/>
          <w:sz w:val="21"/>
          <w:szCs w:val="21"/>
          <w:lang w:val="es-ES_tradnl" w:eastAsia="es-ES_tradnl"/>
        </w:rPr>
        <w:t>1</w:t>
      </w:r>
      <w:r w:rsidR="00646F55" w:rsidRPr="00B8344E">
        <w:rPr>
          <w:rFonts w:ascii="Century Gothic" w:hAnsi="Century Gothic" w:cs="Times New Roman"/>
          <w:sz w:val="21"/>
          <w:szCs w:val="21"/>
          <w:lang w:val="es-ES_tradnl" w:eastAsia="es-ES_tradnl"/>
        </w:rPr>
        <w:t>-</w:t>
      </w:r>
      <w:r w:rsidR="003540AD" w:rsidRPr="00B8344E">
        <w:rPr>
          <w:rFonts w:ascii="Century Gothic" w:hAnsi="Century Gothic" w:cs="Times New Roman"/>
          <w:sz w:val="21"/>
          <w:szCs w:val="21"/>
          <w:lang w:val="es-ES_tradnl" w:eastAsia="es-ES_tradnl"/>
        </w:rPr>
        <w:t>202</w:t>
      </w:r>
      <w:r w:rsidR="00A339FD" w:rsidRPr="00B8344E">
        <w:rPr>
          <w:rFonts w:ascii="Century Gothic" w:hAnsi="Century Gothic" w:cs="Times New Roman"/>
          <w:sz w:val="21"/>
          <w:szCs w:val="21"/>
          <w:lang w:val="es-ES_tradnl" w:eastAsia="es-ES_tradnl"/>
        </w:rPr>
        <w:t>1</w:t>
      </w:r>
      <w:r w:rsidR="00646F55" w:rsidRPr="00B8344E">
        <w:rPr>
          <w:rFonts w:ascii="Century Gothic" w:hAnsi="Century Gothic" w:cs="Times New Roman"/>
          <w:sz w:val="21"/>
          <w:szCs w:val="21"/>
          <w:lang w:val="es-ES_tradnl" w:eastAsia="es-ES_tradnl"/>
        </w:rPr>
        <w:t xml:space="preserve">, el valor habría pasado de </w:t>
      </w:r>
      <w:r w:rsidR="00E37F86" w:rsidRPr="00B8344E">
        <w:rPr>
          <w:rFonts w:ascii="Century Gothic" w:hAnsi="Century Gothic" w:cs="Times New Roman"/>
          <w:sz w:val="21"/>
          <w:szCs w:val="21"/>
          <w:lang w:val="es-ES_tradnl" w:eastAsia="es-ES_tradnl"/>
        </w:rPr>
        <w:t>2</w:t>
      </w:r>
      <w:r w:rsidR="00157A37" w:rsidRPr="00B8344E">
        <w:rPr>
          <w:rFonts w:ascii="Century Gothic" w:hAnsi="Century Gothic" w:cs="Times New Roman"/>
          <w:sz w:val="21"/>
          <w:szCs w:val="21"/>
          <w:lang w:val="es-ES_tradnl" w:eastAsia="es-ES_tradnl"/>
        </w:rPr>
        <w:t>,</w:t>
      </w:r>
      <w:r w:rsidR="00E37F86" w:rsidRPr="00B8344E">
        <w:rPr>
          <w:rFonts w:ascii="Century Gothic" w:hAnsi="Century Gothic" w:cs="Times New Roman"/>
          <w:sz w:val="21"/>
          <w:szCs w:val="21"/>
          <w:lang w:val="es-ES_tradnl" w:eastAsia="es-ES_tradnl"/>
        </w:rPr>
        <w:t>26</w:t>
      </w:r>
      <w:r w:rsidR="00646F55" w:rsidRPr="00B8344E">
        <w:rPr>
          <w:rFonts w:ascii="Century Gothic" w:hAnsi="Century Gothic" w:cs="Times New Roman"/>
          <w:sz w:val="21"/>
          <w:szCs w:val="21"/>
          <w:lang w:val="es-ES_tradnl" w:eastAsia="es-ES_tradnl"/>
        </w:rPr>
        <w:t xml:space="preserve"> MJ/US$ a </w:t>
      </w:r>
      <w:r w:rsidR="00EC1B13" w:rsidRPr="00B8344E">
        <w:rPr>
          <w:rFonts w:ascii="Century Gothic" w:hAnsi="Century Gothic" w:cs="Times New Roman"/>
          <w:sz w:val="21"/>
          <w:szCs w:val="21"/>
          <w:lang w:val="es-ES_tradnl" w:eastAsia="es-ES_tradnl"/>
        </w:rPr>
        <w:t>2</w:t>
      </w:r>
      <w:r w:rsidR="00157A37" w:rsidRPr="00B8344E">
        <w:rPr>
          <w:rFonts w:ascii="Century Gothic" w:hAnsi="Century Gothic" w:cs="Times New Roman"/>
          <w:sz w:val="21"/>
          <w:szCs w:val="21"/>
          <w:lang w:val="es-ES_tradnl" w:eastAsia="es-ES_tradnl"/>
        </w:rPr>
        <w:t>,</w:t>
      </w:r>
      <w:r w:rsidR="00A339FD" w:rsidRPr="00B8344E">
        <w:rPr>
          <w:rFonts w:ascii="Century Gothic" w:hAnsi="Century Gothic" w:cs="Times New Roman"/>
          <w:sz w:val="21"/>
          <w:szCs w:val="21"/>
          <w:lang w:val="es-ES_tradnl" w:eastAsia="es-ES_tradnl"/>
        </w:rPr>
        <w:t>36</w:t>
      </w:r>
      <w:r w:rsidR="00646F55" w:rsidRPr="00B8344E">
        <w:rPr>
          <w:rFonts w:ascii="Century Gothic" w:hAnsi="Century Gothic" w:cs="Times New Roman"/>
          <w:sz w:val="21"/>
          <w:szCs w:val="21"/>
          <w:lang w:val="es-ES_tradnl" w:eastAsia="es-ES_tradnl"/>
        </w:rPr>
        <w:t xml:space="preserve"> MJ/US$ (</w:t>
      </w:r>
      <w:r w:rsidR="00E37F86" w:rsidRPr="00B8344E">
        <w:rPr>
          <w:rFonts w:ascii="Century Gothic" w:hAnsi="Century Gothic" w:cs="Times New Roman"/>
          <w:sz w:val="21"/>
          <w:szCs w:val="21"/>
          <w:lang w:val="es-ES_tradnl" w:eastAsia="es-ES_tradnl"/>
        </w:rPr>
        <w:t>+4</w:t>
      </w:r>
      <w:r w:rsidR="00157A37" w:rsidRPr="00B8344E">
        <w:rPr>
          <w:rFonts w:ascii="Century Gothic" w:hAnsi="Century Gothic" w:cs="Times New Roman"/>
          <w:sz w:val="21"/>
          <w:szCs w:val="21"/>
          <w:lang w:val="es-ES_tradnl" w:eastAsia="es-ES_tradnl"/>
        </w:rPr>
        <w:t>,</w:t>
      </w:r>
      <w:r w:rsidR="00E37F86" w:rsidRPr="00B8344E">
        <w:rPr>
          <w:rFonts w:ascii="Century Gothic" w:hAnsi="Century Gothic" w:cs="Times New Roman"/>
          <w:sz w:val="21"/>
          <w:szCs w:val="21"/>
          <w:lang w:val="es-ES_tradnl" w:eastAsia="es-ES_tradnl"/>
        </w:rPr>
        <w:t>42</w:t>
      </w:r>
      <w:r w:rsidR="00646F55" w:rsidRPr="00B8344E">
        <w:rPr>
          <w:rFonts w:ascii="Century Gothic" w:hAnsi="Century Gothic" w:cs="Times New Roman"/>
          <w:sz w:val="21"/>
          <w:szCs w:val="21"/>
          <w:lang w:val="es-ES_tradnl" w:eastAsia="es-ES_tradnl"/>
        </w:rPr>
        <w:t xml:space="preserve">%), lo cual apunta hacia </w:t>
      </w:r>
      <w:r w:rsidR="00E37F86" w:rsidRPr="00B8344E">
        <w:rPr>
          <w:rFonts w:ascii="Century Gothic" w:hAnsi="Century Gothic" w:cs="Times New Roman"/>
          <w:sz w:val="21"/>
          <w:szCs w:val="21"/>
          <w:lang w:val="es-ES_tradnl" w:eastAsia="es-ES_tradnl"/>
        </w:rPr>
        <w:t>una ligera disminución</w:t>
      </w:r>
      <w:r w:rsidR="00646F55" w:rsidRPr="00B8344E">
        <w:rPr>
          <w:rFonts w:ascii="Century Gothic" w:hAnsi="Century Gothic" w:cs="Times New Roman"/>
          <w:sz w:val="21"/>
          <w:szCs w:val="21"/>
          <w:lang w:val="es-ES_tradnl" w:eastAsia="es-ES_tradnl"/>
        </w:rPr>
        <w:t xml:space="preserve"> </w:t>
      </w:r>
      <w:r w:rsidR="005D1329" w:rsidRPr="00B8344E">
        <w:rPr>
          <w:rFonts w:ascii="Century Gothic" w:hAnsi="Century Gothic" w:cs="Times New Roman"/>
          <w:sz w:val="21"/>
          <w:szCs w:val="21"/>
          <w:lang w:val="es-ES_tradnl" w:eastAsia="es-ES_tradnl"/>
        </w:rPr>
        <w:t>d</w:t>
      </w:r>
      <w:r w:rsidR="00646F55" w:rsidRPr="00B8344E">
        <w:rPr>
          <w:rFonts w:ascii="Century Gothic" w:hAnsi="Century Gothic" w:cs="Times New Roman"/>
          <w:sz w:val="21"/>
          <w:szCs w:val="21"/>
          <w:lang w:val="es-ES_tradnl" w:eastAsia="es-ES_tradnl"/>
        </w:rPr>
        <w:t>e la eficiencia energética de las empresas nacionales</w:t>
      </w:r>
      <w:r w:rsidR="00E37F86" w:rsidRPr="00B8344E">
        <w:rPr>
          <w:rFonts w:ascii="Century Gothic" w:hAnsi="Century Gothic" w:cs="Times New Roman"/>
          <w:sz w:val="21"/>
          <w:szCs w:val="21"/>
          <w:lang w:val="es-ES_tradnl" w:eastAsia="es-ES_tradnl"/>
        </w:rPr>
        <w:t xml:space="preserve">. </w:t>
      </w:r>
      <w:r w:rsidR="00134B0B" w:rsidRPr="00B8344E">
        <w:rPr>
          <w:rFonts w:ascii="Century Gothic" w:hAnsi="Century Gothic" w:cs="Times New Roman"/>
          <w:sz w:val="21"/>
          <w:szCs w:val="21"/>
          <w:lang w:val="es-ES_tradnl" w:eastAsia="es-ES_tradnl"/>
        </w:rPr>
        <w:t>Este aumento de la intensidad energética representa una ligera disminución en la eficiencia energética del sector productivo nacional. A pesar de la pequeña variación en este indicador, el hecho concreto es el aumento de la dependencia cada vez mayor del sector productivo hacia el consumo de energía.</w:t>
      </w:r>
    </w:p>
    <w:p w14:paraId="58016C7B" w14:textId="77777777" w:rsidR="00E37F86" w:rsidRPr="0041546E" w:rsidRDefault="00E37F86" w:rsidP="00646F55">
      <w:pPr>
        <w:jc w:val="both"/>
        <w:rPr>
          <w:rFonts w:ascii="Century Gothic" w:hAnsi="Century Gothic" w:cs="Times New Roman"/>
          <w:sz w:val="21"/>
          <w:szCs w:val="21"/>
          <w:lang w:val="es-ES_tradnl" w:eastAsia="es-ES_tradnl"/>
        </w:rPr>
      </w:pPr>
    </w:p>
    <w:p w14:paraId="7B9488EB" w14:textId="47A0EDF4" w:rsidR="00646F55" w:rsidRPr="00F234E6" w:rsidRDefault="00C42E65" w:rsidP="00646F55">
      <w:pPr>
        <w:jc w:val="both"/>
        <w:rPr>
          <w:rFonts w:ascii="Century Gothic" w:hAnsi="Century Gothic" w:cs="Times New Roman"/>
          <w:sz w:val="21"/>
          <w:szCs w:val="21"/>
          <w:lang w:eastAsia="es-ES_tradnl"/>
        </w:rPr>
      </w:pPr>
      <w:r w:rsidRPr="00467BF3">
        <w:rPr>
          <w:rFonts w:ascii="Century Gothic" w:hAnsi="Century Gothic" w:cs="Times New Roman"/>
          <w:sz w:val="21"/>
          <w:szCs w:val="21"/>
          <w:lang w:val="es-ES_tradnl" w:eastAsia="es-ES_tradnl"/>
        </w:rPr>
        <w:t>R</w:t>
      </w:r>
      <w:r w:rsidR="00646F55" w:rsidRPr="00467BF3">
        <w:rPr>
          <w:rFonts w:ascii="Century Gothic" w:hAnsi="Century Gothic" w:cs="Times New Roman"/>
          <w:sz w:val="21"/>
          <w:szCs w:val="21"/>
          <w:lang w:eastAsia="es-ES_tradnl"/>
        </w:rPr>
        <w:t xml:space="preserve">especto al uso de combustibles fósiles líquidos, las empresas han consumido </w:t>
      </w:r>
      <w:r w:rsidR="00B14B0A" w:rsidRPr="00467BF3">
        <w:rPr>
          <w:rFonts w:ascii="Century Gothic" w:hAnsi="Century Gothic" w:cs="Times New Roman"/>
          <w:sz w:val="21"/>
          <w:szCs w:val="21"/>
          <w:lang w:eastAsia="es-ES_tradnl"/>
        </w:rPr>
        <w:t>5</w:t>
      </w:r>
      <w:r w:rsidR="00C429E7" w:rsidRPr="00467BF3">
        <w:rPr>
          <w:rFonts w:ascii="Century Gothic" w:hAnsi="Century Gothic" w:cs="Times New Roman"/>
          <w:sz w:val="21"/>
          <w:szCs w:val="21"/>
          <w:lang w:eastAsia="es-ES_tradnl"/>
        </w:rPr>
        <w:t>76</w:t>
      </w:r>
      <w:r w:rsidR="00157A37" w:rsidRPr="00467BF3">
        <w:rPr>
          <w:rFonts w:ascii="Century Gothic" w:hAnsi="Century Gothic" w:cs="Times New Roman"/>
          <w:sz w:val="21"/>
          <w:szCs w:val="21"/>
          <w:lang w:eastAsia="es-ES_tradnl"/>
        </w:rPr>
        <w:t>,</w:t>
      </w:r>
      <w:r w:rsidR="00C429E7" w:rsidRPr="00467BF3">
        <w:rPr>
          <w:rFonts w:ascii="Century Gothic" w:hAnsi="Century Gothic" w:cs="Times New Roman"/>
          <w:sz w:val="21"/>
          <w:szCs w:val="21"/>
          <w:lang w:eastAsia="es-ES_tradnl"/>
        </w:rPr>
        <w:t>18</w:t>
      </w:r>
      <w:r w:rsidR="00646F55" w:rsidRPr="00467BF3">
        <w:rPr>
          <w:rFonts w:ascii="Century Gothic" w:hAnsi="Century Gothic" w:cs="Times New Roman"/>
          <w:sz w:val="21"/>
          <w:szCs w:val="21"/>
          <w:lang w:eastAsia="es-ES_tradnl"/>
        </w:rPr>
        <w:t xml:space="preserve"> millones de galones (</w:t>
      </w:r>
      <w:r w:rsidR="00B14B0A" w:rsidRPr="00467BF3">
        <w:rPr>
          <w:rFonts w:ascii="Century Gothic" w:hAnsi="Century Gothic" w:cs="Times New Roman"/>
          <w:sz w:val="21"/>
          <w:szCs w:val="21"/>
          <w:lang w:eastAsia="es-ES_tradnl"/>
        </w:rPr>
        <w:t>-1</w:t>
      </w:r>
      <w:r w:rsidR="00C429E7" w:rsidRPr="00467BF3">
        <w:rPr>
          <w:rFonts w:ascii="Century Gothic" w:hAnsi="Century Gothic" w:cs="Times New Roman"/>
          <w:sz w:val="21"/>
          <w:szCs w:val="21"/>
          <w:lang w:eastAsia="es-ES_tradnl"/>
        </w:rPr>
        <w:t>6</w:t>
      </w:r>
      <w:r w:rsidR="00157A37" w:rsidRPr="00467BF3">
        <w:rPr>
          <w:rFonts w:ascii="Century Gothic" w:hAnsi="Century Gothic" w:cs="Times New Roman"/>
          <w:sz w:val="21"/>
          <w:szCs w:val="21"/>
          <w:lang w:eastAsia="es-ES_tradnl"/>
        </w:rPr>
        <w:t>,</w:t>
      </w:r>
      <w:r w:rsidR="00B14B0A" w:rsidRPr="00467BF3">
        <w:rPr>
          <w:rFonts w:ascii="Century Gothic" w:hAnsi="Century Gothic" w:cs="Times New Roman"/>
          <w:sz w:val="21"/>
          <w:szCs w:val="21"/>
          <w:lang w:eastAsia="es-ES_tradnl"/>
        </w:rPr>
        <w:t>8</w:t>
      </w:r>
      <w:r w:rsidR="00C429E7" w:rsidRPr="00467BF3">
        <w:rPr>
          <w:rFonts w:ascii="Century Gothic" w:hAnsi="Century Gothic" w:cs="Times New Roman"/>
          <w:sz w:val="21"/>
          <w:szCs w:val="21"/>
          <w:lang w:eastAsia="es-ES_tradnl"/>
        </w:rPr>
        <w:t>9</w:t>
      </w:r>
      <w:r w:rsidR="00646F55" w:rsidRPr="00467BF3">
        <w:rPr>
          <w:rFonts w:ascii="Century Gothic" w:hAnsi="Century Gothic" w:cs="Times New Roman"/>
          <w:sz w:val="21"/>
          <w:szCs w:val="21"/>
          <w:lang w:eastAsia="es-ES_tradnl"/>
        </w:rPr>
        <w:t xml:space="preserve">% con respecto al año </w:t>
      </w:r>
      <w:r w:rsidR="003540AD" w:rsidRPr="00467BF3">
        <w:rPr>
          <w:rFonts w:ascii="Century Gothic" w:hAnsi="Century Gothic" w:cs="Times New Roman"/>
          <w:sz w:val="21"/>
          <w:szCs w:val="21"/>
          <w:lang w:eastAsia="es-ES_tradnl"/>
        </w:rPr>
        <w:t>20</w:t>
      </w:r>
      <w:r w:rsidR="00C429E7" w:rsidRPr="00467BF3">
        <w:rPr>
          <w:rFonts w:ascii="Century Gothic" w:hAnsi="Century Gothic" w:cs="Times New Roman"/>
          <w:sz w:val="21"/>
          <w:szCs w:val="21"/>
          <w:lang w:eastAsia="es-ES_tradnl"/>
        </w:rPr>
        <w:t>20</w:t>
      </w:r>
      <w:r w:rsidR="00646F55" w:rsidRPr="00467BF3">
        <w:rPr>
          <w:rFonts w:ascii="Century Gothic" w:hAnsi="Century Gothic" w:cs="Times New Roman"/>
          <w:sz w:val="21"/>
          <w:szCs w:val="21"/>
          <w:lang w:eastAsia="es-ES_tradnl"/>
        </w:rPr>
        <w:t xml:space="preserve">). Por este concepto se erogaron </w:t>
      </w:r>
      <w:r w:rsidR="00E97483" w:rsidRPr="00467BF3">
        <w:rPr>
          <w:rFonts w:ascii="Century Gothic" w:hAnsi="Century Gothic" w:cs="Times New Roman"/>
          <w:sz w:val="21"/>
          <w:szCs w:val="21"/>
          <w:lang w:eastAsia="es-ES_tradnl"/>
        </w:rPr>
        <w:t>928</w:t>
      </w:r>
      <w:r w:rsidR="00157A37" w:rsidRPr="00467BF3">
        <w:rPr>
          <w:rFonts w:ascii="Century Gothic" w:hAnsi="Century Gothic" w:cs="Times New Roman"/>
          <w:sz w:val="21"/>
          <w:szCs w:val="21"/>
          <w:lang w:eastAsia="es-ES_tradnl"/>
        </w:rPr>
        <w:t>,</w:t>
      </w:r>
      <w:r w:rsidR="00E97483" w:rsidRPr="00467BF3">
        <w:rPr>
          <w:rFonts w:ascii="Century Gothic" w:hAnsi="Century Gothic" w:cs="Times New Roman"/>
          <w:sz w:val="21"/>
          <w:szCs w:val="21"/>
          <w:lang w:eastAsia="es-ES_tradnl"/>
        </w:rPr>
        <w:t>28</w:t>
      </w:r>
      <w:r w:rsidR="00646F55" w:rsidRPr="00467BF3">
        <w:rPr>
          <w:rFonts w:ascii="Century Gothic" w:hAnsi="Century Gothic" w:cs="Times New Roman"/>
          <w:sz w:val="21"/>
          <w:szCs w:val="21"/>
          <w:lang w:eastAsia="es-ES_tradnl"/>
        </w:rPr>
        <w:t xml:space="preserve"> millones de USD (</w:t>
      </w:r>
      <w:r w:rsidR="00E97483" w:rsidRPr="00467BF3">
        <w:rPr>
          <w:rFonts w:ascii="Century Gothic" w:hAnsi="Century Gothic" w:cs="Times New Roman"/>
          <w:sz w:val="21"/>
          <w:szCs w:val="21"/>
          <w:lang w:eastAsia="es-ES_tradnl"/>
        </w:rPr>
        <w:t>+13</w:t>
      </w:r>
      <w:r w:rsidR="00157A37" w:rsidRPr="00467BF3">
        <w:rPr>
          <w:rFonts w:ascii="Century Gothic" w:hAnsi="Century Gothic" w:cs="Times New Roman"/>
          <w:sz w:val="21"/>
          <w:szCs w:val="21"/>
          <w:lang w:eastAsia="es-ES_tradnl"/>
        </w:rPr>
        <w:t>,</w:t>
      </w:r>
      <w:r w:rsidR="00C129D8" w:rsidRPr="00467BF3">
        <w:rPr>
          <w:rFonts w:ascii="Century Gothic" w:hAnsi="Century Gothic" w:cs="Times New Roman"/>
          <w:sz w:val="21"/>
          <w:szCs w:val="21"/>
          <w:lang w:eastAsia="es-ES_tradnl"/>
        </w:rPr>
        <w:t>1</w:t>
      </w:r>
      <w:r w:rsidR="00E97483" w:rsidRPr="00467BF3">
        <w:rPr>
          <w:rFonts w:ascii="Century Gothic" w:hAnsi="Century Gothic" w:cs="Times New Roman"/>
          <w:sz w:val="21"/>
          <w:szCs w:val="21"/>
          <w:lang w:eastAsia="es-ES_tradnl"/>
        </w:rPr>
        <w:t>6</w:t>
      </w:r>
      <w:r w:rsidR="00646F55" w:rsidRPr="00467BF3">
        <w:rPr>
          <w:rFonts w:ascii="Century Gothic" w:hAnsi="Century Gothic" w:cs="Times New Roman"/>
          <w:sz w:val="21"/>
          <w:szCs w:val="21"/>
          <w:lang w:eastAsia="es-ES_tradnl"/>
        </w:rPr>
        <w:t xml:space="preserve">% con respecto al año </w:t>
      </w:r>
      <w:r w:rsidR="003540AD" w:rsidRPr="00467BF3">
        <w:rPr>
          <w:rFonts w:ascii="Century Gothic" w:hAnsi="Century Gothic" w:cs="Times New Roman"/>
          <w:sz w:val="21"/>
          <w:szCs w:val="21"/>
          <w:lang w:eastAsia="es-ES_tradnl"/>
        </w:rPr>
        <w:t>20</w:t>
      </w:r>
      <w:r w:rsidR="00E97483" w:rsidRPr="00467BF3">
        <w:rPr>
          <w:rFonts w:ascii="Century Gothic" w:hAnsi="Century Gothic" w:cs="Times New Roman"/>
          <w:sz w:val="21"/>
          <w:szCs w:val="21"/>
          <w:lang w:eastAsia="es-ES_tradnl"/>
        </w:rPr>
        <w:t>20</w:t>
      </w:r>
      <w:r w:rsidR="00646F55" w:rsidRPr="00467BF3">
        <w:rPr>
          <w:rFonts w:ascii="Century Gothic" w:hAnsi="Century Gothic" w:cs="Times New Roman"/>
          <w:sz w:val="21"/>
          <w:szCs w:val="21"/>
          <w:lang w:eastAsia="es-ES_tradnl"/>
        </w:rPr>
        <w:t>). El combustible líquido más usado por las empresas es el Diésel (4</w:t>
      </w:r>
      <w:r w:rsidR="00C129D8" w:rsidRPr="00467BF3">
        <w:rPr>
          <w:rFonts w:ascii="Century Gothic" w:hAnsi="Century Gothic" w:cs="Times New Roman"/>
          <w:sz w:val="21"/>
          <w:szCs w:val="21"/>
          <w:lang w:eastAsia="es-ES_tradnl"/>
        </w:rPr>
        <w:t>5</w:t>
      </w:r>
      <w:r w:rsidR="00157A37" w:rsidRPr="00467BF3">
        <w:rPr>
          <w:rFonts w:ascii="Century Gothic" w:hAnsi="Century Gothic" w:cs="Times New Roman"/>
          <w:sz w:val="21"/>
          <w:szCs w:val="21"/>
          <w:lang w:eastAsia="es-ES_tradnl"/>
        </w:rPr>
        <w:t>,</w:t>
      </w:r>
      <w:r w:rsidR="00C604EF" w:rsidRPr="00467BF3">
        <w:rPr>
          <w:rFonts w:ascii="Century Gothic" w:hAnsi="Century Gothic" w:cs="Times New Roman"/>
          <w:sz w:val="21"/>
          <w:szCs w:val="21"/>
          <w:lang w:eastAsia="es-ES_tradnl"/>
        </w:rPr>
        <w:t>47</w:t>
      </w:r>
      <w:r w:rsidR="00646F55" w:rsidRPr="00467BF3">
        <w:rPr>
          <w:rFonts w:ascii="Century Gothic" w:hAnsi="Century Gothic" w:cs="Times New Roman"/>
          <w:sz w:val="21"/>
          <w:szCs w:val="21"/>
          <w:lang w:eastAsia="es-ES_tradnl"/>
        </w:rPr>
        <w:t>% del total), habi</w:t>
      </w:r>
      <w:r w:rsidR="004E51CC" w:rsidRPr="00467BF3">
        <w:rPr>
          <w:rFonts w:ascii="Century Gothic" w:hAnsi="Century Gothic" w:cs="Times New Roman"/>
          <w:sz w:val="21"/>
          <w:szCs w:val="21"/>
          <w:lang w:eastAsia="es-ES_tradnl"/>
        </w:rPr>
        <w:t>endo variado su consumo en</w:t>
      </w:r>
      <w:r w:rsidR="00646F55" w:rsidRPr="00467BF3">
        <w:rPr>
          <w:rFonts w:ascii="Century Gothic" w:hAnsi="Century Gothic" w:cs="Times New Roman"/>
          <w:sz w:val="21"/>
          <w:szCs w:val="21"/>
          <w:lang w:eastAsia="es-ES_tradnl"/>
        </w:rPr>
        <w:t xml:space="preserve"> un -</w:t>
      </w:r>
      <w:r w:rsidR="00C604EF" w:rsidRPr="00467BF3">
        <w:rPr>
          <w:rFonts w:ascii="Century Gothic" w:hAnsi="Century Gothic" w:cs="Times New Roman"/>
          <w:sz w:val="21"/>
          <w:szCs w:val="21"/>
          <w:lang w:eastAsia="es-ES_tradnl"/>
        </w:rPr>
        <w:t>14</w:t>
      </w:r>
      <w:r w:rsidR="00157A37" w:rsidRPr="00467BF3">
        <w:rPr>
          <w:rFonts w:ascii="Century Gothic" w:hAnsi="Century Gothic" w:cs="Times New Roman"/>
          <w:sz w:val="21"/>
          <w:szCs w:val="21"/>
          <w:lang w:eastAsia="es-ES_tradnl"/>
        </w:rPr>
        <w:t>,</w:t>
      </w:r>
      <w:r w:rsidR="00C604EF" w:rsidRPr="00467BF3">
        <w:rPr>
          <w:rFonts w:ascii="Century Gothic" w:hAnsi="Century Gothic" w:cs="Times New Roman"/>
          <w:sz w:val="21"/>
          <w:szCs w:val="21"/>
          <w:lang w:eastAsia="es-ES_tradnl"/>
        </w:rPr>
        <w:t>4</w:t>
      </w:r>
      <w:r w:rsidR="00C129D8" w:rsidRPr="00467BF3">
        <w:rPr>
          <w:rFonts w:ascii="Century Gothic" w:hAnsi="Century Gothic" w:cs="Times New Roman"/>
          <w:sz w:val="21"/>
          <w:szCs w:val="21"/>
          <w:lang w:eastAsia="es-ES_tradnl"/>
        </w:rPr>
        <w:t>5</w:t>
      </w:r>
      <w:r w:rsidR="00646F55" w:rsidRPr="00467BF3">
        <w:rPr>
          <w:rFonts w:ascii="Century Gothic" w:hAnsi="Century Gothic" w:cs="Times New Roman"/>
          <w:sz w:val="21"/>
          <w:szCs w:val="21"/>
          <w:lang w:eastAsia="es-ES_tradnl"/>
        </w:rPr>
        <w:t xml:space="preserve">% con respecto al año </w:t>
      </w:r>
      <w:r w:rsidR="003540AD" w:rsidRPr="00467BF3">
        <w:rPr>
          <w:rFonts w:ascii="Century Gothic" w:hAnsi="Century Gothic" w:cs="Times New Roman"/>
          <w:sz w:val="21"/>
          <w:szCs w:val="21"/>
          <w:lang w:eastAsia="es-ES_tradnl"/>
        </w:rPr>
        <w:t>20</w:t>
      </w:r>
      <w:r w:rsidR="00C604EF" w:rsidRPr="00467BF3">
        <w:rPr>
          <w:rFonts w:ascii="Century Gothic" w:hAnsi="Century Gothic" w:cs="Times New Roman"/>
          <w:sz w:val="21"/>
          <w:szCs w:val="21"/>
          <w:lang w:eastAsia="es-ES_tradnl"/>
        </w:rPr>
        <w:t>20</w:t>
      </w:r>
      <w:r w:rsidR="00646F55" w:rsidRPr="00467BF3">
        <w:rPr>
          <w:rFonts w:ascii="Century Gothic" w:hAnsi="Century Gothic" w:cs="Times New Roman"/>
          <w:sz w:val="21"/>
          <w:szCs w:val="21"/>
          <w:lang w:eastAsia="es-ES_tradnl"/>
        </w:rPr>
        <w:t>. Le siguen en importancia el Residuo Fuel Oil (2</w:t>
      </w:r>
      <w:r w:rsidR="00C604EF" w:rsidRPr="00467BF3">
        <w:rPr>
          <w:rFonts w:ascii="Century Gothic" w:hAnsi="Century Gothic" w:cs="Times New Roman"/>
          <w:sz w:val="21"/>
          <w:szCs w:val="21"/>
          <w:lang w:eastAsia="es-ES_tradnl"/>
        </w:rPr>
        <w:t>4</w:t>
      </w:r>
      <w:r w:rsidR="00157A37" w:rsidRPr="00467BF3">
        <w:rPr>
          <w:rFonts w:ascii="Century Gothic" w:hAnsi="Century Gothic" w:cs="Times New Roman"/>
          <w:sz w:val="21"/>
          <w:szCs w:val="21"/>
          <w:lang w:eastAsia="es-ES_tradnl"/>
        </w:rPr>
        <w:t>,</w:t>
      </w:r>
      <w:r w:rsidR="00C604EF" w:rsidRPr="00467BF3">
        <w:rPr>
          <w:rFonts w:ascii="Century Gothic" w:hAnsi="Century Gothic" w:cs="Times New Roman"/>
          <w:sz w:val="21"/>
          <w:szCs w:val="21"/>
          <w:lang w:eastAsia="es-ES_tradnl"/>
        </w:rPr>
        <w:t>0</w:t>
      </w:r>
      <w:r w:rsidR="00646F55" w:rsidRPr="00467BF3">
        <w:rPr>
          <w:rFonts w:ascii="Century Gothic" w:hAnsi="Century Gothic" w:cs="Times New Roman"/>
          <w:sz w:val="21"/>
          <w:szCs w:val="21"/>
          <w:lang w:eastAsia="es-ES_tradnl"/>
        </w:rPr>
        <w:t>5</w:t>
      </w:r>
      <w:r w:rsidR="004E51CC" w:rsidRPr="00467BF3">
        <w:rPr>
          <w:rFonts w:ascii="Century Gothic" w:hAnsi="Century Gothic" w:cs="Times New Roman"/>
          <w:sz w:val="21"/>
          <w:szCs w:val="21"/>
          <w:lang w:eastAsia="es-ES_tradnl"/>
        </w:rPr>
        <w:t xml:space="preserve">%), </w:t>
      </w:r>
      <w:r w:rsidR="00646F55" w:rsidRPr="00467BF3">
        <w:rPr>
          <w:rFonts w:ascii="Century Gothic" w:hAnsi="Century Gothic" w:cs="Times New Roman"/>
          <w:sz w:val="21"/>
          <w:szCs w:val="21"/>
          <w:lang w:eastAsia="es-ES_tradnl"/>
        </w:rPr>
        <w:t>el Jet Fuel (</w:t>
      </w:r>
      <w:r w:rsidR="002A4CA5" w:rsidRPr="00467BF3">
        <w:rPr>
          <w:rFonts w:ascii="Century Gothic" w:hAnsi="Century Gothic" w:cs="Times New Roman"/>
          <w:sz w:val="21"/>
          <w:szCs w:val="21"/>
          <w:lang w:eastAsia="es-ES_tradnl"/>
        </w:rPr>
        <w:t>12</w:t>
      </w:r>
      <w:r w:rsidR="00157A37" w:rsidRPr="00467BF3">
        <w:rPr>
          <w:rFonts w:ascii="Century Gothic" w:hAnsi="Century Gothic" w:cs="Times New Roman"/>
          <w:sz w:val="21"/>
          <w:szCs w:val="21"/>
          <w:lang w:eastAsia="es-ES_tradnl"/>
        </w:rPr>
        <w:t>,</w:t>
      </w:r>
      <w:r w:rsidR="00C604EF" w:rsidRPr="00467BF3">
        <w:rPr>
          <w:rFonts w:ascii="Century Gothic" w:hAnsi="Century Gothic" w:cs="Times New Roman"/>
          <w:sz w:val="21"/>
          <w:szCs w:val="21"/>
          <w:lang w:eastAsia="es-ES_tradnl"/>
        </w:rPr>
        <w:t>16</w:t>
      </w:r>
      <w:r w:rsidR="004E51CC" w:rsidRPr="00467BF3">
        <w:rPr>
          <w:rFonts w:ascii="Century Gothic" w:hAnsi="Century Gothic" w:cs="Times New Roman"/>
          <w:sz w:val="21"/>
          <w:szCs w:val="21"/>
          <w:lang w:eastAsia="es-ES_tradnl"/>
        </w:rPr>
        <w:t>%)</w:t>
      </w:r>
      <w:r w:rsidR="002A4CA5" w:rsidRPr="00467BF3">
        <w:rPr>
          <w:rFonts w:ascii="Century Gothic" w:hAnsi="Century Gothic" w:cs="Times New Roman"/>
          <w:sz w:val="21"/>
          <w:szCs w:val="21"/>
          <w:lang w:eastAsia="es-ES_tradnl"/>
        </w:rPr>
        <w:t xml:space="preserve"> y el Crudo residual (</w:t>
      </w:r>
      <w:r w:rsidR="00C604EF" w:rsidRPr="00467BF3">
        <w:rPr>
          <w:rFonts w:ascii="Century Gothic" w:hAnsi="Century Gothic" w:cs="Times New Roman"/>
          <w:sz w:val="21"/>
          <w:szCs w:val="21"/>
          <w:lang w:eastAsia="es-ES_tradnl"/>
        </w:rPr>
        <w:t>11</w:t>
      </w:r>
      <w:r w:rsidR="00157A37" w:rsidRPr="00467BF3">
        <w:rPr>
          <w:rFonts w:ascii="Century Gothic" w:hAnsi="Century Gothic" w:cs="Times New Roman"/>
          <w:sz w:val="21"/>
          <w:szCs w:val="21"/>
          <w:lang w:eastAsia="es-ES_tradnl"/>
        </w:rPr>
        <w:t>,</w:t>
      </w:r>
      <w:r w:rsidR="00C604EF" w:rsidRPr="00467BF3">
        <w:rPr>
          <w:rFonts w:ascii="Century Gothic" w:hAnsi="Century Gothic" w:cs="Times New Roman"/>
          <w:sz w:val="21"/>
          <w:szCs w:val="21"/>
          <w:lang w:eastAsia="es-ES_tradnl"/>
        </w:rPr>
        <w:t>07</w:t>
      </w:r>
      <w:r w:rsidR="002A4CA5" w:rsidRPr="00467BF3">
        <w:rPr>
          <w:rFonts w:ascii="Century Gothic" w:hAnsi="Century Gothic" w:cs="Times New Roman"/>
          <w:sz w:val="21"/>
          <w:szCs w:val="21"/>
          <w:lang w:eastAsia="es-ES_tradnl"/>
        </w:rPr>
        <w:t>%)</w:t>
      </w:r>
      <w:r w:rsidR="00646F55" w:rsidRPr="00467BF3">
        <w:rPr>
          <w:rFonts w:ascii="Century Gothic" w:hAnsi="Century Gothic" w:cs="Times New Roman"/>
          <w:sz w:val="21"/>
          <w:szCs w:val="21"/>
          <w:lang w:eastAsia="es-ES_tradnl"/>
        </w:rPr>
        <w:t>.</w:t>
      </w:r>
    </w:p>
    <w:p w14:paraId="23402CAB" w14:textId="77777777" w:rsidR="003E4A18" w:rsidRPr="0041546E" w:rsidRDefault="003E4A18" w:rsidP="00646F55">
      <w:pPr>
        <w:jc w:val="both"/>
        <w:rPr>
          <w:rFonts w:ascii="Century Gothic" w:hAnsi="Century Gothic" w:cs="Times New Roman"/>
          <w:sz w:val="21"/>
          <w:szCs w:val="21"/>
          <w:lang w:eastAsia="es-ES_tradnl"/>
        </w:rPr>
      </w:pPr>
    </w:p>
    <w:p w14:paraId="368CAF05" w14:textId="49CD35FA" w:rsidR="00646F55" w:rsidRPr="00646F55" w:rsidRDefault="0092758E" w:rsidP="00646F55">
      <w:pPr>
        <w:pStyle w:val="Descripcin"/>
        <w:keepNext/>
        <w:jc w:val="both"/>
        <w:rPr>
          <w:i w:val="0"/>
        </w:rPr>
      </w:pPr>
      <w:bookmarkStart w:id="16" w:name="_Toc132722360"/>
      <w:r w:rsidRPr="00312243">
        <w:rPr>
          <w:rFonts w:cstheme="minorHAnsi"/>
          <w:b/>
          <w:i w:val="0"/>
          <w:iCs w:val="0"/>
          <w:color w:val="auto"/>
          <w:sz w:val="16"/>
          <w:szCs w:val="16"/>
        </w:rPr>
        <w:t xml:space="preserve">Figura </w:t>
      </w:r>
      <w:r w:rsidRPr="00312243">
        <w:rPr>
          <w:rFonts w:cstheme="minorHAnsi"/>
          <w:b/>
          <w:i w:val="0"/>
          <w:iCs w:val="0"/>
          <w:color w:val="auto"/>
          <w:sz w:val="16"/>
          <w:szCs w:val="16"/>
        </w:rPr>
        <w:fldChar w:fldCharType="begin"/>
      </w:r>
      <w:r w:rsidRPr="00312243">
        <w:rPr>
          <w:rFonts w:cstheme="minorHAnsi"/>
          <w:b/>
          <w:i w:val="0"/>
          <w:iCs w:val="0"/>
          <w:color w:val="auto"/>
          <w:sz w:val="16"/>
          <w:szCs w:val="16"/>
        </w:rPr>
        <w:instrText xml:space="preserve"> SEQ Figura \* ARABIC </w:instrText>
      </w:r>
      <w:r w:rsidRPr="00312243">
        <w:rPr>
          <w:rFonts w:cstheme="minorHAnsi"/>
          <w:b/>
          <w:i w:val="0"/>
          <w:iCs w:val="0"/>
          <w:color w:val="auto"/>
          <w:sz w:val="16"/>
          <w:szCs w:val="16"/>
        </w:rPr>
        <w:fldChar w:fldCharType="separate"/>
      </w:r>
      <w:r>
        <w:rPr>
          <w:rFonts w:cstheme="minorHAnsi"/>
          <w:b/>
          <w:i w:val="0"/>
          <w:iCs w:val="0"/>
          <w:noProof/>
          <w:color w:val="auto"/>
          <w:sz w:val="16"/>
          <w:szCs w:val="16"/>
        </w:rPr>
        <w:t>7</w:t>
      </w:r>
      <w:r w:rsidRPr="00312243">
        <w:rPr>
          <w:rFonts w:cstheme="minorHAnsi"/>
          <w:b/>
          <w:i w:val="0"/>
          <w:iCs w:val="0"/>
          <w:color w:val="auto"/>
          <w:sz w:val="16"/>
          <w:szCs w:val="16"/>
        </w:rPr>
        <w:fldChar w:fldCharType="end"/>
      </w:r>
      <w:r w:rsidR="00646F55" w:rsidRPr="00F234E6">
        <w:rPr>
          <w:b/>
          <w:bCs/>
          <w:i w:val="0"/>
          <w:iCs w:val="0"/>
          <w:color w:val="auto"/>
          <w:sz w:val="16"/>
        </w:rPr>
        <w:t>.</w:t>
      </w:r>
      <w:r w:rsidR="00646F55" w:rsidRPr="00F234E6">
        <w:t xml:space="preserve"> </w:t>
      </w:r>
      <w:r w:rsidR="00646F55" w:rsidRPr="00F234E6">
        <w:rPr>
          <w:rFonts w:cs="Calibri"/>
          <w:i w:val="0"/>
          <w:color w:val="auto"/>
          <w:sz w:val="16"/>
        </w:rPr>
        <w:t>Uso principal de los combustibles fósiles usados por las empresas, % (</w:t>
      </w:r>
      <w:r w:rsidR="003540AD" w:rsidRPr="00F234E6">
        <w:rPr>
          <w:rFonts w:cs="Calibri"/>
          <w:i w:val="0"/>
          <w:color w:val="auto"/>
          <w:sz w:val="16"/>
        </w:rPr>
        <w:t>20</w:t>
      </w:r>
      <w:r w:rsidR="00F15011">
        <w:rPr>
          <w:rFonts w:cs="Calibri"/>
          <w:i w:val="0"/>
          <w:color w:val="auto"/>
          <w:sz w:val="16"/>
        </w:rPr>
        <w:t>20</w:t>
      </w:r>
      <w:r w:rsidR="00646F55" w:rsidRPr="00F234E6">
        <w:rPr>
          <w:rFonts w:cs="Calibri"/>
          <w:i w:val="0"/>
          <w:color w:val="auto"/>
          <w:sz w:val="16"/>
        </w:rPr>
        <w:t>-</w:t>
      </w:r>
      <w:r w:rsidR="003540AD" w:rsidRPr="00F234E6">
        <w:rPr>
          <w:rFonts w:cs="Calibri"/>
          <w:i w:val="0"/>
          <w:color w:val="auto"/>
          <w:sz w:val="16"/>
        </w:rPr>
        <w:t>202</w:t>
      </w:r>
      <w:r w:rsidR="00F15011">
        <w:rPr>
          <w:rFonts w:cs="Calibri"/>
          <w:i w:val="0"/>
          <w:color w:val="auto"/>
          <w:sz w:val="16"/>
        </w:rPr>
        <w:t>1</w:t>
      </w:r>
      <w:r w:rsidR="00646F55" w:rsidRPr="00F234E6">
        <w:rPr>
          <w:rFonts w:cs="Calibri"/>
          <w:i w:val="0"/>
          <w:color w:val="auto"/>
          <w:sz w:val="16"/>
        </w:rPr>
        <w:t>).</w:t>
      </w:r>
      <w:bookmarkEnd w:id="16"/>
    </w:p>
    <w:p w14:paraId="4E232C35" w14:textId="7C5B5BD9" w:rsidR="00646F55" w:rsidRPr="00646F55" w:rsidRDefault="00D32262" w:rsidP="00646F55">
      <w:pPr>
        <w:rPr>
          <w:rFonts w:ascii="Century Gothic" w:hAnsi="Century Gothic"/>
        </w:rPr>
      </w:pPr>
      <w:r>
        <w:rPr>
          <w:noProof/>
        </w:rPr>
        <w:drawing>
          <wp:inline distT="0" distB="0" distL="0" distR="0" wp14:anchorId="57DF9B73" wp14:editId="23BC1CFD">
            <wp:extent cx="2473325" cy="2355494"/>
            <wp:effectExtent l="0" t="0" r="3175" b="6985"/>
            <wp:docPr id="21" name="Gráfico 21">
              <a:extLst xmlns:a="http://schemas.openxmlformats.org/drawingml/2006/main">
                <a:ext uri="{FF2B5EF4-FFF2-40B4-BE49-F238E27FC236}">
                  <a16:creationId xmlns:a16="http://schemas.microsoft.com/office/drawing/2014/main" id="{8AFD661E-32DF-40B1-8BDB-D840C2C702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663BB7B" w14:textId="77777777" w:rsidR="00646F55" w:rsidRPr="00646F55" w:rsidRDefault="00646F55" w:rsidP="00646F55">
      <w:pPr>
        <w:jc w:val="both"/>
        <w:rPr>
          <w:rFonts w:ascii="Century Gothic" w:hAnsi="Century Gothic" w:cs="Times New Roman"/>
          <w:sz w:val="14"/>
          <w:szCs w:val="20"/>
          <w:lang w:eastAsia="es-ES_tradnl"/>
        </w:rPr>
      </w:pPr>
    </w:p>
    <w:p w14:paraId="2B1C2970" w14:textId="225C117E"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Fuente:</w:t>
      </w:r>
      <w:r w:rsidRPr="00646F55">
        <w:rPr>
          <w:rFonts w:ascii="Century Gothic" w:hAnsi="Century Gothic" w:cs="Calibri"/>
          <w:color w:val="404040" w:themeColor="text1" w:themeTint="BF"/>
          <w:sz w:val="14"/>
          <w:szCs w:val="14"/>
        </w:rPr>
        <w:t xml:space="preserve"> Módulo Ambiental </w:t>
      </w:r>
      <w:r w:rsidR="004C1042">
        <w:rPr>
          <w:rFonts w:ascii="Century Gothic" w:hAnsi="Century Gothic" w:cs="Calibri"/>
          <w:color w:val="404040" w:themeColor="text1" w:themeTint="BF"/>
          <w:sz w:val="14"/>
          <w:szCs w:val="14"/>
        </w:rPr>
        <w:t xml:space="preserve">Económica </w:t>
      </w:r>
      <w:r w:rsidRPr="00646F55">
        <w:rPr>
          <w:rFonts w:ascii="Century Gothic" w:hAnsi="Century Gothic" w:cs="Calibri"/>
          <w:color w:val="404040" w:themeColor="text1" w:themeTint="BF"/>
          <w:sz w:val="14"/>
          <w:szCs w:val="14"/>
        </w:rPr>
        <w:t xml:space="preserve">ENESEM </w:t>
      </w:r>
      <w:r w:rsidR="003540AD">
        <w:rPr>
          <w:rFonts w:ascii="Century Gothic" w:hAnsi="Century Gothic" w:cs="Calibri"/>
          <w:color w:val="404040" w:themeColor="text1" w:themeTint="BF"/>
          <w:sz w:val="14"/>
          <w:szCs w:val="14"/>
        </w:rPr>
        <w:t>20</w:t>
      </w:r>
      <w:r w:rsidR="00F15011">
        <w:rPr>
          <w:rFonts w:ascii="Century Gothic" w:hAnsi="Century Gothic" w:cs="Calibri"/>
          <w:color w:val="404040" w:themeColor="text1" w:themeTint="BF"/>
          <w:sz w:val="14"/>
          <w:szCs w:val="14"/>
        </w:rPr>
        <w:t>20</w:t>
      </w:r>
      <w:r w:rsidRPr="00646F55">
        <w:rPr>
          <w:rFonts w:ascii="Century Gothic" w:hAnsi="Century Gothic" w:cs="Calibri"/>
          <w:color w:val="404040" w:themeColor="text1" w:themeTint="BF"/>
          <w:sz w:val="14"/>
          <w:szCs w:val="14"/>
        </w:rPr>
        <w:t>-</w:t>
      </w:r>
      <w:r w:rsidR="003540AD">
        <w:rPr>
          <w:rFonts w:ascii="Century Gothic" w:hAnsi="Century Gothic" w:cs="Calibri"/>
          <w:color w:val="404040" w:themeColor="text1" w:themeTint="BF"/>
          <w:sz w:val="14"/>
          <w:szCs w:val="14"/>
        </w:rPr>
        <w:t>202</w:t>
      </w:r>
      <w:r w:rsidR="00F15011">
        <w:rPr>
          <w:rFonts w:ascii="Century Gothic" w:hAnsi="Century Gothic" w:cs="Calibri"/>
          <w:color w:val="404040" w:themeColor="text1" w:themeTint="BF"/>
          <w:sz w:val="14"/>
          <w:szCs w:val="14"/>
        </w:rPr>
        <w:t>1</w:t>
      </w:r>
      <w:r w:rsidRPr="00646F55">
        <w:rPr>
          <w:rFonts w:ascii="Century Gothic" w:hAnsi="Century Gothic" w:cs="Calibri"/>
          <w:color w:val="404040" w:themeColor="text1" w:themeTint="BF"/>
          <w:sz w:val="14"/>
          <w:szCs w:val="14"/>
        </w:rPr>
        <w:t>.</w:t>
      </w:r>
    </w:p>
    <w:p w14:paraId="726E79A9" w14:textId="77777777" w:rsidR="00646F55" w:rsidRPr="00646F55" w:rsidRDefault="00646F55" w:rsidP="00646F55">
      <w:pPr>
        <w:jc w:val="both"/>
        <w:rPr>
          <w:rFonts w:ascii="Century Gothic" w:hAnsi="Century Gothic" w:cs="Calibri"/>
          <w:color w:val="404040" w:themeColor="text1" w:themeTint="BF"/>
          <w:sz w:val="14"/>
          <w:szCs w:val="14"/>
        </w:rPr>
      </w:pPr>
    </w:p>
    <w:p w14:paraId="133E4FA5" w14:textId="536DAFB2"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Nota</w:t>
      </w:r>
      <w:r w:rsidRPr="00646F55">
        <w:rPr>
          <w:rFonts w:ascii="Century Gothic" w:hAnsi="Century Gothic" w:cs="Calibri"/>
          <w:color w:val="404040" w:themeColor="text1" w:themeTint="BF"/>
          <w:sz w:val="14"/>
          <w:szCs w:val="14"/>
        </w:rPr>
        <w:t xml:space="preserve">: </w:t>
      </w:r>
      <w:r w:rsidRPr="00646F55">
        <w:rPr>
          <w:rFonts w:ascii="Century Gothic" w:hAnsi="Century Gothic" w:cs="Calibri"/>
          <w:i/>
          <w:color w:val="404040" w:themeColor="text1" w:themeTint="BF"/>
          <w:sz w:val="14"/>
          <w:szCs w:val="14"/>
        </w:rPr>
        <w:t>Otros usos</w:t>
      </w:r>
      <w:r w:rsidRPr="00646F55">
        <w:rPr>
          <w:rFonts w:ascii="Century Gothic" w:hAnsi="Century Gothic" w:cs="Calibri"/>
          <w:color w:val="404040" w:themeColor="text1" w:themeTint="BF"/>
          <w:sz w:val="14"/>
          <w:szCs w:val="14"/>
        </w:rPr>
        <w:t xml:space="preserve"> incluye: Uso en laboratorios químicos (Jet fuel); Pintura (Diésel); Elaboración de asfalto, grasa o lubricantes (Aceites); Procesos de cianuración (Carbón).</w:t>
      </w:r>
    </w:p>
    <w:p w14:paraId="7468DA30" w14:textId="77777777" w:rsidR="00D32262" w:rsidRDefault="00D32262" w:rsidP="00D32262">
      <w:pPr>
        <w:jc w:val="both"/>
        <w:rPr>
          <w:rFonts w:ascii="Century Gothic" w:hAnsi="Century Gothic" w:cs="Times New Roman"/>
          <w:sz w:val="21"/>
          <w:szCs w:val="21"/>
          <w:lang w:eastAsia="es-ES_tradnl"/>
        </w:rPr>
      </w:pPr>
    </w:p>
    <w:p w14:paraId="2926BB35" w14:textId="4A282C92" w:rsidR="00D32262" w:rsidRDefault="00D32262" w:rsidP="00D32262">
      <w:pPr>
        <w:jc w:val="both"/>
        <w:rPr>
          <w:rFonts w:ascii="Century Gothic" w:hAnsi="Century Gothic" w:cs="Times New Roman"/>
          <w:sz w:val="21"/>
          <w:szCs w:val="21"/>
          <w:lang w:eastAsia="es-ES_tradnl"/>
        </w:rPr>
      </w:pPr>
      <w:r w:rsidRPr="00F234E6">
        <w:rPr>
          <w:rFonts w:ascii="Century Gothic" w:hAnsi="Century Gothic" w:cs="Times New Roman"/>
          <w:sz w:val="21"/>
          <w:szCs w:val="21"/>
          <w:lang w:eastAsia="es-ES_tradnl"/>
        </w:rPr>
        <w:t xml:space="preserve">Los combustibles fósiles aún siguen siendo necesarios en el sector productivo nacional actual, debido a un sinnúmero de usos posibles. El uso principal dado por las empresas a los combustibles fósiles consumidos se muestra en la Figura </w:t>
      </w:r>
      <w:r>
        <w:rPr>
          <w:rFonts w:ascii="Century Gothic" w:hAnsi="Century Gothic" w:cs="Times New Roman"/>
          <w:sz w:val="21"/>
          <w:szCs w:val="21"/>
          <w:lang w:eastAsia="es-ES_tradnl"/>
        </w:rPr>
        <w:t>7</w:t>
      </w:r>
      <w:r w:rsidRPr="00F234E6">
        <w:rPr>
          <w:rFonts w:ascii="Century Gothic" w:hAnsi="Century Gothic" w:cs="Times New Roman"/>
          <w:sz w:val="21"/>
          <w:szCs w:val="21"/>
          <w:lang w:eastAsia="es-ES_tradnl"/>
        </w:rPr>
        <w:t>.</w:t>
      </w:r>
      <w:r w:rsidR="0033724B">
        <w:rPr>
          <w:rFonts w:ascii="Century Gothic" w:hAnsi="Century Gothic" w:cs="Times New Roman"/>
          <w:sz w:val="21"/>
          <w:szCs w:val="21"/>
          <w:lang w:eastAsia="es-ES_tradnl"/>
        </w:rPr>
        <w:t xml:space="preserve"> Hasta el año 2020, el mayor uso dado a los combustibles fósiles era </w:t>
      </w:r>
      <w:r w:rsidR="00281EDF">
        <w:rPr>
          <w:rFonts w:ascii="Century Gothic" w:hAnsi="Century Gothic" w:cs="Times New Roman"/>
          <w:sz w:val="21"/>
          <w:szCs w:val="21"/>
          <w:lang w:eastAsia="es-ES_tradnl"/>
        </w:rPr>
        <w:t xml:space="preserve">el de </w:t>
      </w:r>
      <w:r w:rsidR="00281EDF" w:rsidRPr="00281EDF">
        <w:rPr>
          <w:rFonts w:ascii="Century Gothic" w:hAnsi="Century Gothic" w:cs="Times New Roman"/>
          <w:i/>
          <w:iCs/>
          <w:sz w:val="21"/>
          <w:szCs w:val="21"/>
          <w:lang w:eastAsia="es-ES_tradnl"/>
        </w:rPr>
        <w:t>Fuerza Motriz y Frío</w:t>
      </w:r>
      <w:r w:rsidR="00281EDF">
        <w:rPr>
          <w:rFonts w:ascii="Century Gothic" w:hAnsi="Century Gothic" w:cs="Times New Roman"/>
          <w:sz w:val="21"/>
          <w:szCs w:val="21"/>
          <w:lang w:eastAsia="es-ES_tradnl"/>
        </w:rPr>
        <w:t xml:space="preserve"> (48,08% del uso), siguiendo a este uso </w:t>
      </w:r>
      <w:r w:rsidR="00281EDF" w:rsidRPr="00281EDF">
        <w:rPr>
          <w:rFonts w:ascii="Century Gothic" w:hAnsi="Century Gothic" w:cs="Times New Roman"/>
          <w:i/>
          <w:iCs/>
          <w:sz w:val="21"/>
          <w:szCs w:val="21"/>
          <w:lang w:eastAsia="es-ES_tradnl"/>
        </w:rPr>
        <w:t>Transporte</w:t>
      </w:r>
      <w:r w:rsidR="00281EDF">
        <w:rPr>
          <w:rFonts w:ascii="Century Gothic" w:hAnsi="Century Gothic" w:cs="Times New Roman"/>
          <w:sz w:val="21"/>
          <w:szCs w:val="21"/>
          <w:lang w:eastAsia="es-ES_tradnl"/>
        </w:rPr>
        <w:t xml:space="preserve"> (35,83%).</w:t>
      </w:r>
      <w:r w:rsidR="00F404AB">
        <w:rPr>
          <w:rFonts w:ascii="Century Gothic" w:hAnsi="Century Gothic" w:cs="Times New Roman"/>
          <w:sz w:val="21"/>
          <w:szCs w:val="21"/>
          <w:lang w:eastAsia="es-ES_tradnl"/>
        </w:rPr>
        <w:t xml:space="preserve"> En cambio, para el año 2021, </w:t>
      </w:r>
      <w:r w:rsidR="00F404AB" w:rsidRPr="00F404AB">
        <w:rPr>
          <w:rFonts w:ascii="Century Gothic" w:hAnsi="Century Gothic" w:cs="Times New Roman"/>
          <w:i/>
          <w:iCs/>
          <w:sz w:val="21"/>
          <w:szCs w:val="21"/>
          <w:lang w:eastAsia="es-ES_tradnl"/>
        </w:rPr>
        <w:t>Transporte</w:t>
      </w:r>
      <w:r w:rsidR="00F404AB">
        <w:rPr>
          <w:rFonts w:ascii="Century Gothic" w:hAnsi="Century Gothic" w:cs="Times New Roman"/>
          <w:sz w:val="21"/>
          <w:szCs w:val="21"/>
          <w:lang w:eastAsia="es-ES_tradnl"/>
        </w:rPr>
        <w:t xml:space="preserve"> lidera el uso de los combustibles fósiles (46,53% del uso), siguiéndole </w:t>
      </w:r>
      <w:r w:rsidR="00F404AB" w:rsidRPr="00281EDF">
        <w:rPr>
          <w:rFonts w:ascii="Century Gothic" w:hAnsi="Century Gothic" w:cs="Times New Roman"/>
          <w:i/>
          <w:iCs/>
          <w:sz w:val="21"/>
          <w:szCs w:val="21"/>
          <w:lang w:eastAsia="es-ES_tradnl"/>
        </w:rPr>
        <w:t>Fuerza Motriz y Frío</w:t>
      </w:r>
      <w:r w:rsidR="00F404AB">
        <w:rPr>
          <w:rFonts w:ascii="Century Gothic" w:hAnsi="Century Gothic" w:cs="Times New Roman"/>
          <w:sz w:val="21"/>
          <w:szCs w:val="21"/>
          <w:lang w:eastAsia="es-ES_tradnl"/>
        </w:rPr>
        <w:t xml:space="preserve"> (38,18%).</w:t>
      </w:r>
    </w:p>
    <w:p w14:paraId="0242CB90" w14:textId="578803B7" w:rsidR="006D64FF" w:rsidRDefault="006D64FF" w:rsidP="00D32262">
      <w:pPr>
        <w:jc w:val="both"/>
        <w:rPr>
          <w:rFonts w:ascii="Century Gothic" w:hAnsi="Century Gothic" w:cs="Times New Roman"/>
          <w:sz w:val="21"/>
          <w:szCs w:val="21"/>
          <w:lang w:eastAsia="es-ES_tradnl"/>
        </w:rPr>
      </w:pPr>
    </w:p>
    <w:p w14:paraId="23804394" w14:textId="0AAD48F4" w:rsidR="00E92E6B" w:rsidRDefault="006D64FF" w:rsidP="00E92E6B">
      <w:pPr>
        <w:jc w:val="both"/>
        <w:rPr>
          <w:rFonts w:ascii="Century Gothic" w:hAnsi="Century Gothic" w:cs="Times New Roman"/>
          <w:sz w:val="21"/>
          <w:szCs w:val="21"/>
          <w:lang w:eastAsia="es-ES_tradnl"/>
        </w:rPr>
      </w:pPr>
      <w:r w:rsidRPr="008F7F6D">
        <w:rPr>
          <w:rFonts w:ascii="Century Gothic" w:hAnsi="Century Gothic" w:cs="Times New Roman"/>
          <w:sz w:val="21"/>
          <w:szCs w:val="21"/>
          <w:lang w:eastAsia="es-ES_tradnl"/>
        </w:rPr>
        <w:t xml:space="preserve">Este análisis complementa el hecho de la caída en el uso de combustibles fósiles para uso en los procesos productivos. Al año 2021, </w:t>
      </w:r>
      <w:r w:rsidR="00D72553" w:rsidRPr="008F7F6D">
        <w:rPr>
          <w:rFonts w:ascii="Century Gothic" w:hAnsi="Century Gothic" w:cs="Times New Roman"/>
          <w:sz w:val="21"/>
          <w:szCs w:val="21"/>
          <w:lang w:eastAsia="es-ES_tradnl"/>
        </w:rPr>
        <w:t>las empresas prefieren gastar más dinero de combustibles fósiles en transporte, así como gastar más en energía eléctrica de red pública y otras energías no fósiles para sus procesos productivos</w:t>
      </w:r>
      <w:r w:rsidR="00E92E6B">
        <w:rPr>
          <w:rFonts w:ascii="Century Gothic" w:hAnsi="Century Gothic" w:cs="Times New Roman"/>
          <w:sz w:val="21"/>
          <w:szCs w:val="21"/>
          <w:lang w:eastAsia="es-ES_tradnl"/>
        </w:rPr>
        <w:t>.</w:t>
      </w:r>
    </w:p>
    <w:p w14:paraId="05E102D6" w14:textId="34D4775B" w:rsidR="00B8344E" w:rsidRPr="00E92E6B" w:rsidRDefault="00B8344E" w:rsidP="00E92E6B">
      <w:pPr>
        <w:jc w:val="both"/>
        <w:rPr>
          <w:rFonts w:ascii="Century Gothic" w:hAnsi="Century Gothic" w:cs="Times New Roman"/>
          <w:sz w:val="21"/>
          <w:szCs w:val="21"/>
          <w:lang w:eastAsia="es-ES_tradnl"/>
        </w:rPr>
      </w:pPr>
    </w:p>
    <w:p w14:paraId="12594399" w14:textId="00E254EF" w:rsidR="00646F55" w:rsidRPr="00646F55" w:rsidRDefault="00646F55" w:rsidP="00646F55">
      <w:pPr>
        <w:pStyle w:val="Ttulo2"/>
        <w:numPr>
          <w:ilvl w:val="0"/>
          <w:numId w:val="12"/>
        </w:numPr>
        <w:rPr>
          <w:rFonts w:ascii="Century Gothic" w:hAnsi="Century Gothic"/>
          <w:color w:val="767171" w:themeColor="background2" w:themeShade="80"/>
          <w:sz w:val="24"/>
        </w:rPr>
      </w:pPr>
      <w:bookmarkStart w:id="17" w:name="_Toc132722345"/>
      <w:r w:rsidRPr="00646F55">
        <w:rPr>
          <w:rFonts w:ascii="Century Gothic" w:hAnsi="Century Gothic"/>
          <w:color w:val="767171" w:themeColor="background2" w:themeShade="80"/>
          <w:sz w:val="24"/>
        </w:rPr>
        <w:t>Producción de energía renovable</w:t>
      </w:r>
      <w:bookmarkEnd w:id="17"/>
    </w:p>
    <w:p w14:paraId="05830B8B" w14:textId="77777777" w:rsidR="00646F55" w:rsidRPr="006A7885" w:rsidRDefault="00646F55" w:rsidP="00646F55">
      <w:pPr>
        <w:jc w:val="both"/>
        <w:rPr>
          <w:rFonts w:ascii="Century Gothic" w:hAnsi="Century Gothic"/>
          <w:b/>
          <w:bCs/>
          <w:color w:val="595959" w:themeColor="text1" w:themeTint="A6"/>
          <w:sz w:val="21"/>
          <w:szCs w:val="21"/>
        </w:rPr>
      </w:pPr>
    </w:p>
    <w:p w14:paraId="0F5E8780" w14:textId="7F3F8450" w:rsidR="00646F55" w:rsidRPr="006A7885" w:rsidRDefault="00646F55" w:rsidP="00646F55">
      <w:pPr>
        <w:jc w:val="both"/>
        <w:rPr>
          <w:rFonts w:ascii="Century Gothic" w:hAnsi="Century Gothic" w:cs="Times New Roman"/>
          <w:sz w:val="21"/>
          <w:szCs w:val="21"/>
          <w:lang w:val="es-ES_tradnl" w:eastAsia="es-ES_tradnl"/>
        </w:rPr>
      </w:pPr>
      <w:r w:rsidRPr="00705E01">
        <w:rPr>
          <w:rFonts w:ascii="Century Gothic" w:hAnsi="Century Gothic" w:cs="Times New Roman"/>
          <w:sz w:val="21"/>
          <w:szCs w:val="21"/>
          <w:lang w:val="es-ES_tradnl" w:eastAsia="es-ES_tradnl"/>
        </w:rPr>
        <w:t>La producción de energía renovable se asocia con la sostenibilidad energética de las empresas. Este indicador es deficitario en el sentido ambiental, pues casi el 13</w:t>
      </w:r>
      <w:r w:rsidR="00157A37">
        <w:rPr>
          <w:rFonts w:ascii="Century Gothic" w:hAnsi="Century Gothic" w:cs="Times New Roman"/>
          <w:sz w:val="21"/>
          <w:szCs w:val="21"/>
          <w:lang w:val="es-ES_tradnl" w:eastAsia="es-ES_tradnl"/>
        </w:rPr>
        <w:t>,</w:t>
      </w:r>
      <w:r w:rsidRPr="00705E01">
        <w:rPr>
          <w:rFonts w:ascii="Century Gothic" w:hAnsi="Century Gothic" w:cs="Times New Roman"/>
          <w:sz w:val="21"/>
          <w:szCs w:val="21"/>
          <w:lang w:val="es-ES_tradnl" w:eastAsia="es-ES_tradnl"/>
        </w:rPr>
        <w:t xml:space="preserve">1% de toda la energía producida en el país sería renovable –básicamente, energía hidroeléctrica, eólica y de biomasa-, según proyecciones lineales a partir de datos publicados por el </w:t>
      </w:r>
      <w:r w:rsidR="008F7F6D">
        <w:rPr>
          <w:rFonts w:ascii="Century Gothic" w:hAnsi="Century Gothic" w:cs="Times New Roman"/>
          <w:sz w:val="21"/>
          <w:szCs w:val="21"/>
          <w:lang w:val="es-ES_tradnl" w:eastAsia="es-ES_tradnl"/>
        </w:rPr>
        <w:t>Ministerio de Energía y Minas</w:t>
      </w:r>
      <w:r w:rsidRPr="00705E01">
        <w:rPr>
          <w:rFonts w:ascii="Century Gothic" w:hAnsi="Century Gothic" w:cs="Times New Roman"/>
          <w:sz w:val="21"/>
          <w:szCs w:val="21"/>
          <w:lang w:val="es-ES_tradnl" w:eastAsia="es-ES_tradnl"/>
        </w:rPr>
        <w:t xml:space="preserve"> en su </w:t>
      </w:r>
      <w:r w:rsidRPr="008F7F6D">
        <w:rPr>
          <w:rFonts w:ascii="Century Gothic" w:hAnsi="Century Gothic" w:cs="Times New Roman"/>
          <w:i/>
          <w:iCs/>
          <w:sz w:val="21"/>
          <w:szCs w:val="21"/>
          <w:lang w:val="es-ES_tradnl" w:eastAsia="es-ES_tradnl"/>
        </w:rPr>
        <w:t>Balance Energético Nacional 20</w:t>
      </w:r>
      <w:r w:rsidR="008F7F6D" w:rsidRPr="008F7F6D">
        <w:rPr>
          <w:rFonts w:ascii="Century Gothic" w:hAnsi="Century Gothic" w:cs="Times New Roman"/>
          <w:i/>
          <w:iCs/>
          <w:sz w:val="21"/>
          <w:szCs w:val="21"/>
          <w:lang w:val="es-ES_tradnl" w:eastAsia="es-ES_tradnl"/>
        </w:rPr>
        <w:t>2</w:t>
      </w:r>
      <w:r w:rsidRPr="008F7F6D">
        <w:rPr>
          <w:rFonts w:ascii="Century Gothic" w:hAnsi="Century Gothic" w:cs="Times New Roman"/>
          <w:i/>
          <w:iCs/>
          <w:sz w:val="21"/>
          <w:szCs w:val="21"/>
          <w:lang w:val="es-ES_tradnl" w:eastAsia="es-ES_tradnl"/>
        </w:rPr>
        <w:t>1</w:t>
      </w:r>
      <w:r w:rsidR="008F7F6D" w:rsidRPr="008F7F6D">
        <w:rPr>
          <w:sz w:val="16"/>
          <w:szCs w:val="16"/>
        </w:rPr>
        <w:t xml:space="preserve"> </w:t>
      </w:r>
      <w:sdt>
        <w:sdtPr>
          <w:rPr>
            <w:rFonts w:ascii="Century Gothic" w:hAnsi="Century Gothic"/>
            <w:sz w:val="21"/>
            <w:szCs w:val="21"/>
          </w:rPr>
          <w:id w:val="-1370226809"/>
          <w:citation/>
        </w:sdtPr>
        <w:sdtEndPr/>
        <w:sdtContent>
          <w:r w:rsidR="008F7F6D" w:rsidRPr="008F7F6D">
            <w:rPr>
              <w:rFonts w:ascii="Century Gothic" w:hAnsi="Century Gothic"/>
              <w:sz w:val="21"/>
              <w:szCs w:val="21"/>
            </w:rPr>
            <w:fldChar w:fldCharType="begin"/>
          </w:r>
          <w:r w:rsidR="008F7F6D" w:rsidRPr="008F7F6D">
            <w:rPr>
              <w:rFonts w:ascii="Century Gothic" w:hAnsi="Century Gothic"/>
              <w:sz w:val="21"/>
              <w:szCs w:val="21"/>
            </w:rPr>
            <w:instrText xml:space="preserve">CITATION MINE22 \l 20490 </w:instrText>
          </w:r>
          <w:r w:rsidR="008F7F6D" w:rsidRPr="008F7F6D">
            <w:rPr>
              <w:rFonts w:ascii="Century Gothic" w:hAnsi="Century Gothic"/>
              <w:sz w:val="21"/>
              <w:szCs w:val="21"/>
            </w:rPr>
            <w:fldChar w:fldCharType="separate"/>
          </w:r>
          <w:r w:rsidR="000A66AF" w:rsidRPr="000A66AF">
            <w:rPr>
              <w:rFonts w:ascii="Century Gothic" w:hAnsi="Century Gothic"/>
              <w:noProof/>
              <w:sz w:val="21"/>
              <w:szCs w:val="21"/>
            </w:rPr>
            <w:t>(Ministerio de Energía y Minas, 2022)</w:t>
          </w:r>
          <w:r w:rsidR="008F7F6D" w:rsidRPr="008F7F6D">
            <w:rPr>
              <w:rFonts w:ascii="Century Gothic" w:hAnsi="Century Gothic"/>
              <w:sz w:val="21"/>
              <w:szCs w:val="21"/>
            </w:rPr>
            <w:fldChar w:fldCharType="end"/>
          </w:r>
        </w:sdtContent>
      </w:sdt>
      <w:r w:rsidR="008F7F6D">
        <w:rPr>
          <w:sz w:val="16"/>
          <w:szCs w:val="16"/>
        </w:rPr>
        <w:t xml:space="preserve"> </w:t>
      </w:r>
      <w:r w:rsidR="008F7F6D">
        <w:rPr>
          <w:rFonts w:ascii="Century Gothic" w:hAnsi="Century Gothic" w:cs="Times New Roman"/>
          <w:sz w:val="21"/>
          <w:szCs w:val="21"/>
          <w:lang w:val="es-ES_tradnl" w:eastAsia="es-ES_tradnl"/>
        </w:rPr>
        <w:t>cu</w:t>
      </w:r>
      <w:r w:rsidRPr="00705E01">
        <w:rPr>
          <w:rFonts w:ascii="Century Gothic" w:hAnsi="Century Gothic" w:cs="Times New Roman"/>
          <w:sz w:val="21"/>
          <w:szCs w:val="21"/>
          <w:lang w:val="es-ES_tradnl" w:eastAsia="es-ES_tradnl"/>
        </w:rPr>
        <w:t>ando a nivel nacional las empresas que producen energías renovables es apenas el 0</w:t>
      </w:r>
      <w:r w:rsidR="00157A37">
        <w:rPr>
          <w:rFonts w:ascii="Century Gothic" w:hAnsi="Century Gothic" w:cs="Times New Roman"/>
          <w:sz w:val="21"/>
          <w:szCs w:val="21"/>
          <w:lang w:val="es-ES_tradnl" w:eastAsia="es-ES_tradnl"/>
        </w:rPr>
        <w:t>,</w:t>
      </w:r>
      <w:r w:rsidR="008F7F6D">
        <w:rPr>
          <w:rFonts w:ascii="Century Gothic" w:hAnsi="Century Gothic" w:cs="Times New Roman"/>
          <w:sz w:val="21"/>
          <w:szCs w:val="21"/>
          <w:lang w:val="es-ES_tradnl" w:eastAsia="es-ES_tradnl"/>
        </w:rPr>
        <w:t>4</w:t>
      </w:r>
      <w:r w:rsidRPr="00705E01">
        <w:rPr>
          <w:rFonts w:ascii="Century Gothic" w:hAnsi="Century Gothic" w:cs="Times New Roman"/>
          <w:sz w:val="21"/>
          <w:szCs w:val="21"/>
          <w:lang w:val="es-ES_tradnl" w:eastAsia="es-ES_tradnl"/>
        </w:rPr>
        <w:t xml:space="preserve">8% en el año </w:t>
      </w:r>
      <w:r w:rsidR="003540AD" w:rsidRPr="00705E01">
        <w:rPr>
          <w:rFonts w:ascii="Century Gothic" w:hAnsi="Century Gothic" w:cs="Times New Roman"/>
          <w:sz w:val="21"/>
          <w:szCs w:val="21"/>
          <w:lang w:val="es-ES_tradnl" w:eastAsia="es-ES_tradnl"/>
        </w:rPr>
        <w:t>202</w:t>
      </w:r>
      <w:r w:rsidR="008F7F6D">
        <w:rPr>
          <w:rFonts w:ascii="Century Gothic" w:hAnsi="Century Gothic" w:cs="Times New Roman"/>
          <w:sz w:val="21"/>
          <w:szCs w:val="21"/>
          <w:lang w:val="es-ES_tradnl" w:eastAsia="es-ES_tradnl"/>
        </w:rPr>
        <w:t>1</w:t>
      </w:r>
      <w:r w:rsidRPr="00705E01">
        <w:rPr>
          <w:rFonts w:ascii="Century Gothic" w:hAnsi="Century Gothic" w:cs="Times New Roman"/>
          <w:sz w:val="21"/>
          <w:szCs w:val="21"/>
          <w:lang w:val="es-ES_tradnl" w:eastAsia="es-ES_tradnl"/>
        </w:rPr>
        <w:t xml:space="preserve">, dato que en el año </w:t>
      </w:r>
      <w:r w:rsidR="003540AD" w:rsidRPr="00705E01">
        <w:rPr>
          <w:rFonts w:ascii="Century Gothic" w:hAnsi="Century Gothic" w:cs="Times New Roman"/>
          <w:sz w:val="21"/>
          <w:szCs w:val="21"/>
          <w:lang w:val="es-ES_tradnl" w:eastAsia="es-ES_tradnl"/>
        </w:rPr>
        <w:t>20</w:t>
      </w:r>
      <w:r w:rsidR="008F7F6D">
        <w:rPr>
          <w:rFonts w:ascii="Century Gothic" w:hAnsi="Century Gothic" w:cs="Times New Roman"/>
          <w:sz w:val="21"/>
          <w:szCs w:val="21"/>
          <w:lang w:val="es-ES_tradnl" w:eastAsia="es-ES_tradnl"/>
        </w:rPr>
        <w:t>20</w:t>
      </w:r>
      <w:r w:rsidRPr="00705E01">
        <w:rPr>
          <w:rFonts w:ascii="Century Gothic" w:hAnsi="Century Gothic" w:cs="Times New Roman"/>
          <w:sz w:val="21"/>
          <w:szCs w:val="21"/>
          <w:lang w:val="es-ES_tradnl" w:eastAsia="es-ES_tradnl"/>
        </w:rPr>
        <w:t xml:space="preserve"> </w:t>
      </w:r>
      <w:r w:rsidR="008F7F6D">
        <w:rPr>
          <w:rFonts w:ascii="Century Gothic" w:hAnsi="Century Gothic" w:cs="Times New Roman"/>
          <w:sz w:val="21"/>
          <w:szCs w:val="21"/>
          <w:lang w:val="es-ES_tradnl" w:eastAsia="es-ES_tradnl"/>
        </w:rPr>
        <w:t>fue de</w:t>
      </w:r>
      <w:r w:rsidRPr="00705E01">
        <w:rPr>
          <w:rFonts w:ascii="Century Gothic" w:hAnsi="Century Gothic" w:cs="Times New Roman"/>
          <w:sz w:val="21"/>
          <w:szCs w:val="21"/>
          <w:lang w:val="es-ES_tradnl" w:eastAsia="es-ES_tradnl"/>
        </w:rPr>
        <w:t xml:space="preserve"> 0</w:t>
      </w:r>
      <w:r w:rsidR="00157A37">
        <w:rPr>
          <w:rFonts w:ascii="Century Gothic" w:hAnsi="Century Gothic" w:cs="Times New Roman"/>
          <w:sz w:val="21"/>
          <w:szCs w:val="21"/>
          <w:lang w:val="es-ES_tradnl" w:eastAsia="es-ES_tradnl"/>
        </w:rPr>
        <w:t>,</w:t>
      </w:r>
      <w:r w:rsidR="002C73A2" w:rsidRPr="00705E01">
        <w:rPr>
          <w:rFonts w:ascii="Century Gothic" w:hAnsi="Century Gothic" w:cs="Times New Roman"/>
          <w:sz w:val="21"/>
          <w:szCs w:val="21"/>
          <w:lang w:val="es-ES_tradnl" w:eastAsia="es-ES_tradnl"/>
        </w:rPr>
        <w:t>8</w:t>
      </w:r>
      <w:r w:rsidR="008F7F6D">
        <w:rPr>
          <w:rFonts w:ascii="Century Gothic" w:hAnsi="Century Gothic" w:cs="Times New Roman"/>
          <w:sz w:val="21"/>
          <w:szCs w:val="21"/>
          <w:lang w:val="es-ES_tradnl" w:eastAsia="es-ES_tradnl"/>
        </w:rPr>
        <w:t>6</w:t>
      </w:r>
      <w:r w:rsidRPr="00705E01">
        <w:rPr>
          <w:rFonts w:ascii="Century Gothic" w:hAnsi="Century Gothic" w:cs="Times New Roman"/>
          <w:sz w:val="21"/>
          <w:szCs w:val="21"/>
          <w:lang w:val="es-ES_tradnl" w:eastAsia="es-ES_tradnl"/>
        </w:rPr>
        <w:t>%.</w:t>
      </w:r>
      <w:r w:rsidR="00E92E6B">
        <w:rPr>
          <w:rFonts w:ascii="Century Gothic" w:hAnsi="Century Gothic" w:cs="Times New Roman"/>
          <w:sz w:val="21"/>
          <w:szCs w:val="21"/>
          <w:lang w:val="es-ES_tradnl" w:eastAsia="es-ES_tradnl"/>
        </w:rPr>
        <w:t xml:space="preserve"> Entre las actividades </w:t>
      </w:r>
      <w:r w:rsidR="00E92E6B" w:rsidRPr="008177F0">
        <w:rPr>
          <w:rFonts w:ascii="Century Gothic" w:hAnsi="Century Gothic" w:cs="Times New Roman"/>
          <w:i/>
          <w:iCs/>
          <w:sz w:val="21"/>
          <w:szCs w:val="21"/>
          <w:lang w:val="es-ES_tradnl" w:eastAsia="es-ES_tradnl"/>
        </w:rPr>
        <w:t>Manufactura</w:t>
      </w:r>
      <w:r w:rsidR="00E92E6B">
        <w:rPr>
          <w:rFonts w:ascii="Century Gothic" w:hAnsi="Century Gothic" w:cs="Times New Roman"/>
          <w:sz w:val="21"/>
          <w:szCs w:val="21"/>
          <w:lang w:val="es-ES_tradnl" w:eastAsia="es-ES_tradnl"/>
        </w:rPr>
        <w:t xml:space="preserve"> y </w:t>
      </w:r>
      <w:r w:rsidR="00E92E6B" w:rsidRPr="008177F0">
        <w:rPr>
          <w:rFonts w:ascii="Century Gothic" w:hAnsi="Century Gothic" w:cs="Times New Roman"/>
          <w:i/>
          <w:iCs/>
          <w:sz w:val="21"/>
          <w:szCs w:val="21"/>
          <w:lang w:val="es-ES_tradnl" w:eastAsia="es-ES_tradnl"/>
        </w:rPr>
        <w:t>Suministro de electricidad, gas, vapor y aire acondicionado</w:t>
      </w:r>
      <w:r w:rsidR="00E92E6B" w:rsidRPr="00097F3D">
        <w:rPr>
          <w:rFonts w:ascii="Century Gothic" w:hAnsi="Century Gothic" w:cs="Times New Roman"/>
          <w:sz w:val="21"/>
          <w:szCs w:val="21"/>
          <w:lang w:val="es-ES_tradnl" w:eastAsia="es-ES_tradnl"/>
        </w:rPr>
        <w:t xml:space="preserve"> conforman el 65.38% de empresas que generan energías de tipo alternativa o complementaria.</w:t>
      </w:r>
    </w:p>
    <w:p w14:paraId="0A346E6F" w14:textId="77777777" w:rsidR="005D5270" w:rsidRPr="00646F55" w:rsidRDefault="005D5270" w:rsidP="00646F55">
      <w:pPr>
        <w:jc w:val="both"/>
        <w:rPr>
          <w:rFonts w:ascii="Century Gothic" w:hAnsi="Century Gothic" w:cs="Times New Roman"/>
          <w:sz w:val="20"/>
          <w:szCs w:val="20"/>
          <w:lang w:val="es-ES_tradnl" w:eastAsia="es-ES_tradnl"/>
        </w:rPr>
      </w:pPr>
    </w:p>
    <w:p w14:paraId="179AE8AA" w14:textId="6FAE3D28" w:rsidR="00646F55" w:rsidRPr="005D5DE4" w:rsidRDefault="00646F55" w:rsidP="00646F55">
      <w:pPr>
        <w:pStyle w:val="Ttulo2"/>
        <w:numPr>
          <w:ilvl w:val="0"/>
          <w:numId w:val="12"/>
        </w:numPr>
        <w:rPr>
          <w:rFonts w:ascii="Century Gothic" w:hAnsi="Century Gothic"/>
          <w:color w:val="767171" w:themeColor="background2" w:themeShade="80"/>
          <w:sz w:val="24"/>
        </w:rPr>
      </w:pPr>
      <w:bookmarkStart w:id="18" w:name="_Toc132722346"/>
      <w:r w:rsidRPr="00646F55">
        <w:rPr>
          <w:rFonts w:ascii="Century Gothic" w:hAnsi="Century Gothic"/>
          <w:color w:val="767171" w:themeColor="background2" w:themeShade="80"/>
          <w:sz w:val="24"/>
        </w:rPr>
        <w:lastRenderedPageBreak/>
        <w:t>Calentamiento de la atmósfera</w:t>
      </w:r>
      <w:bookmarkEnd w:id="18"/>
    </w:p>
    <w:p w14:paraId="0A6D2D6F" w14:textId="77777777" w:rsidR="005D5DE4" w:rsidRPr="005D5DE4" w:rsidRDefault="005D5DE4" w:rsidP="00646F55">
      <w:pPr>
        <w:jc w:val="both"/>
        <w:rPr>
          <w:rFonts w:ascii="Century Gothic" w:hAnsi="Century Gothic" w:cstheme="minorHAnsi"/>
          <w:sz w:val="21"/>
          <w:szCs w:val="21"/>
        </w:rPr>
      </w:pPr>
    </w:p>
    <w:p w14:paraId="2CDC7A08" w14:textId="4D10E4DD" w:rsidR="00646F55" w:rsidRDefault="00646F55" w:rsidP="00646F55">
      <w:pPr>
        <w:jc w:val="both"/>
        <w:rPr>
          <w:rFonts w:ascii="Century Gothic" w:hAnsi="Century Gothic" w:cstheme="minorHAnsi"/>
          <w:sz w:val="21"/>
          <w:szCs w:val="21"/>
        </w:rPr>
      </w:pPr>
      <w:r w:rsidRPr="005D5DE4">
        <w:rPr>
          <w:rFonts w:ascii="Century Gothic" w:hAnsi="Century Gothic" w:cstheme="minorHAnsi"/>
          <w:sz w:val="21"/>
          <w:szCs w:val="21"/>
        </w:rPr>
        <w:t xml:space="preserve">Otro importante indicador de acoplamiento económico-ambiental es el denominado </w:t>
      </w:r>
      <w:r w:rsidRPr="005D5DE4">
        <w:rPr>
          <w:rFonts w:ascii="Century Gothic" w:hAnsi="Century Gothic" w:cstheme="minorHAnsi"/>
          <w:b/>
          <w:i/>
          <w:sz w:val="21"/>
          <w:szCs w:val="21"/>
        </w:rPr>
        <w:t>Intensidad de Generación de CO</w:t>
      </w:r>
      <w:r w:rsidRPr="005D5DE4">
        <w:rPr>
          <w:rFonts w:ascii="Century Gothic" w:hAnsi="Century Gothic" w:cstheme="minorHAnsi"/>
          <w:b/>
          <w:i/>
          <w:sz w:val="21"/>
          <w:szCs w:val="21"/>
          <w:vertAlign w:val="subscript"/>
        </w:rPr>
        <w:t>2</w:t>
      </w:r>
      <w:r w:rsidRPr="005D5DE4">
        <w:rPr>
          <w:rFonts w:ascii="Century Gothic" w:hAnsi="Century Gothic" w:cstheme="minorHAnsi"/>
          <w:sz w:val="21"/>
          <w:szCs w:val="21"/>
        </w:rPr>
        <w:t xml:space="preserve">. Es un “proxy” de la cantidad de calor irradiado por los gases de efecto invernadero que la industria arroja a la atmósfera por efecto de sus procesos productivos, con respecto al Valor Agregado Bruto. Al igual que el indicador de </w:t>
      </w:r>
      <w:r w:rsidRPr="005D5DE4">
        <w:rPr>
          <w:rFonts w:ascii="Century Gothic" w:hAnsi="Century Gothic" w:cstheme="minorHAnsi"/>
          <w:b/>
          <w:i/>
          <w:sz w:val="21"/>
          <w:szCs w:val="21"/>
        </w:rPr>
        <w:t>Intensidad</w:t>
      </w:r>
      <w:r w:rsidRPr="005D5DE4">
        <w:rPr>
          <w:rFonts w:ascii="Century Gothic" w:hAnsi="Century Gothic" w:cstheme="minorHAnsi"/>
          <w:sz w:val="21"/>
          <w:szCs w:val="21"/>
        </w:rPr>
        <w:t xml:space="preserve"> </w:t>
      </w:r>
      <w:r w:rsidRPr="005D5DE4">
        <w:rPr>
          <w:rFonts w:ascii="Century Gothic" w:hAnsi="Century Gothic" w:cstheme="minorHAnsi"/>
          <w:b/>
          <w:i/>
          <w:sz w:val="21"/>
          <w:szCs w:val="21"/>
        </w:rPr>
        <w:t>Energética</w:t>
      </w:r>
      <w:r w:rsidRPr="005D5DE4">
        <w:rPr>
          <w:rFonts w:ascii="Century Gothic" w:hAnsi="Century Gothic" w:cstheme="minorHAnsi"/>
          <w:sz w:val="21"/>
          <w:szCs w:val="21"/>
        </w:rPr>
        <w:t xml:space="preserve">, este indicador también mide el desacoplamiento material de las economías. Este indicador forma parte del Sistema Integrado de Producción Verde (SIPV) de la CEPAL, el cual lo entrega también el Módulo Ambiental </w:t>
      </w:r>
      <w:r w:rsidR="00157A37">
        <w:rPr>
          <w:rFonts w:ascii="Century Gothic" w:hAnsi="Century Gothic" w:cstheme="minorHAnsi"/>
          <w:sz w:val="21"/>
          <w:szCs w:val="21"/>
        </w:rPr>
        <w:t>Económic</w:t>
      </w:r>
      <w:r w:rsidR="00F04A6F">
        <w:rPr>
          <w:rFonts w:ascii="Century Gothic" w:hAnsi="Century Gothic" w:cstheme="minorHAnsi"/>
          <w:sz w:val="21"/>
          <w:szCs w:val="21"/>
        </w:rPr>
        <w:t>o</w:t>
      </w:r>
      <w:r w:rsidR="00157A37" w:rsidRPr="005D5DE4">
        <w:rPr>
          <w:rFonts w:ascii="Century Gothic" w:hAnsi="Century Gothic" w:cstheme="minorHAnsi"/>
          <w:sz w:val="21"/>
          <w:szCs w:val="21"/>
        </w:rPr>
        <w:t xml:space="preserve"> </w:t>
      </w:r>
      <w:r w:rsidRPr="005D5DE4">
        <w:rPr>
          <w:rFonts w:ascii="Century Gothic" w:hAnsi="Century Gothic" w:cstheme="minorHAnsi"/>
          <w:sz w:val="21"/>
          <w:szCs w:val="21"/>
        </w:rPr>
        <w:t>de la ENESEM.</w:t>
      </w:r>
      <w:r w:rsidR="00A40A71">
        <w:rPr>
          <w:rFonts w:ascii="Century Gothic" w:hAnsi="Century Gothic" w:cstheme="minorHAnsi"/>
          <w:sz w:val="21"/>
          <w:szCs w:val="21"/>
        </w:rPr>
        <w:t xml:space="preserve"> </w:t>
      </w:r>
      <w:r w:rsidRPr="005D5DE4">
        <w:rPr>
          <w:rFonts w:ascii="Century Gothic" w:hAnsi="Century Gothic" w:cstheme="minorHAnsi"/>
          <w:sz w:val="21"/>
          <w:szCs w:val="21"/>
        </w:rPr>
        <w:t xml:space="preserve">En la Figura </w:t>
      </w:r>
      <w:r w:rsidR="00E628A6">
        <w:rPr>
          <w:rFonts w:ascii="Century Gothic" w:hAnsi="Century Gothic" w:cstheme="minorHAnsi"/>
          <w:sz w:val="21"/>
          <w:szCs w:val="21"/>
        </w:rPr>
        <w:t>8</w:t>
      </w:r>
      <w:r w:rsidRPr="005D5DE4">
        <w:rPr>
          <w:rFonts w:ascii="Century Gothic" w:hAnsi="Century Gothic" w:cstheme="minorHAnsi"/>
          <w:sz w:val="21"/>
          <w:szCs w:val="21"/>
        </w:rPr>
        <w:t xml:space="preserve"> se muestra la intensidad de generación de CO</w:t>
      </w:r>
      <w:r w:rsidRPr="005D5DE4">
        <w:rPr>
          <w:rFonts w:ascii="Century Gothic" w:hAnsi="Century Gothic" w:cstheme="minorHAnsi"/>
          <w:sz w:val="21"/>
          <w:szCs w:val="21"/>
          <w:vertAlign w:val="subscript"/>
        </w:rPr>
        <w:t>2</w:t>
      </w:r>
      <w:r w:rsidRPr="005D5DE4">
        <w:rPr>
          <w:rFonts w:ascii="Century Gothic" w:hAnsi="Century Gothic" w:cstheme="minorHAnsi"/>
          <w:sz w:val="21"/>
          <w:szCs w:val="21"/>
        </w:rPr>
        <w:t xml:space="preserve"> por actividad económica en los años </w:t>
      </w:r>
      <w:r w:rsidR="003540AD">
        <w:rPr>
          <w:rFonts w:ascii="Century Gothic" w:hAnsi="Century Gothic" w:cstheme="minorHAnsi"/>
          <w:sz w:val="21"/>
          <w:szCs w:val="21"/>
        </w:rPr>
        <w:t>20</w:t>
      </w:r>
      <w:r w:rsidR="00E628A6">
        <w:rPr>
          <w:rFonts w:ascii="Century Gothic" w:hAnsi="Century Gothic" w:cstheme="minorHAnsi"/>
          <w:sz w:val="21"/>
          <w:szCs w:val="21"/>
        </w:rPr>
        <w:t>20</w:t>
      </w:r>
      <w:r w:rsidRPr="005D5DE4">
        <w:rPr>
          <w:rFonts w:ascii="Century Gothic" w:hAnsi="Century Gothic" w:cstheme="minorHAnsi"/>
          <w:sz w:val="21"/>
          <w:szCs w:val="21"/>
        </w:rPr>
        <w:t xml:space="preserve"> y </w:t>
      </w:r>
      <w:r w:rsidR="003540AD">
        <w:rPr>
          <w:rFonts w:ascii="Century Gothic" w:hAnsi="Century Gothic" w:cstheme="minorHAnsi"/>
          <w:sz w:val="21"/>
          <w:szCs w:val="21"/>
        </w:rPr>
        <w:t>202</w:t>
      </w:r>
      <w:r w:rsidR="00E628A6">
        <w:rPr>
          <w:rFonts w:ascii="Century Gothic" w:hAnsi="Century Gothic" w:cstheme="minorHAnsi"/>
          <w:sz w:val="21"/>
          <w:szCs w:val="21"/>
        </w:rPr>
        <w:t>1</w:t>
      </w:r>
      <w:r w:rsidRPr="005D5DE4">
        <w:rPr>
          <w:rFonts w:ascii="Century Gothic" w:hAnsi="Century Gothic" w:cstheme="minorHAnsi"/>
          <w:sz w:val="21"/>
          <w:szCs w:val="21"/>
        </w:rPr>
        <w:t>.</w:t>
      </w:r>
    </w:p>
    <w:p w14:paraId="6902B348" w14:textId="77777777" w:rsidR="00E628A6" w:rsidRDefault="00E628A6" w:rsidP="00646F55">
      <w:pPr>
        <w:jc w:val="both"/>
        <w:rPr>
          <w:rFonts w:ascii="Century Gothic" w:hAnsi="Century Gothic" w:cstheme="minorHAnsi"/>
          <w:sz w:val="21"/>
          <w:szCs w:val="21"/>
        </w:rPr>
      </w:pPr>
    </w:p>
    <w:p w14:paraId="06D85DFD" w14:textId="40781359" w:rsidR="00646F55" w:rsidRPr="00646F55" w:rsidRDefault="0092758E" w:rsidP="00646F55">
      <w:pPr>
        <w:pStyle w:val="Descripcin"/>
        <w:keepNext/>
        <w:jc w:val="both"/>
        <w:rPr>
          <w:i w:val="0"/>
        </w:rPr>
      </w:pPr>
      <w:bookmarkStart w:id="19" w:name="_Toc132722361"/>
      <w:r w:rsidRPr="00312243">
        <w:rPr>
          <w:rFonts w:cstheme="minorHAnsi"/>
          <w:b/>
          <w:i w:val="0"/>
          <w:iCs w:val="0"/>
          <w:color w:val="auto"/>
          <w:sz w:val="16"/>
          <w:szCs w:val="16"/>
        </w:rPr>
        <w:t xml:space="preserve">Figura </w:t>
      </w:r>
      <w:r w:rsidRPr="00312243">
        <w:rPr>
          <w:rFonts w:cstheme="minorHAnsi"/>
          <w:b/>
          <w:i w:val="0"/>
          <w:iCs w:val="0"/>
          <w:color w:val="auto"/>
          <w:sz w:val="16"/>
          <w:szCs w:val="16"/>
        </w:rPr>
        <w:fldChar w:fldCharType="begin"/>
      </w:r>
      <w:r w:rsidRPr="00312243">
        <w:rPr>
          <w:rFonts w:cstheme="minorHAnsi"/>
          <w:b/>
          <w:i w:val="0"/>
          <w:iCs w:val="0"/>
          <w:color w:val="auto"/>
          <w:sz w:val="16"/>
          <w:szCs w:val="16"/>
        </w:rPr>
        <w:instrText xml:space="preserve"> SEQ Figura \* ARABIC </w:instrText>
      </w:r>
      <w:r w:rsidRPr="00312243">
        <w:rPr>
          <w:rFonts w:cstheme="minorHAnsi"/>
          <w:b/>
          <w:i w:val="0"/>
          <w:iCs w:val="0"/>
          <w:color w:val="auto"/>
          <w:sz w:val="16"/>
          <w:szCs w:val="16"/>
        </w:rPr>
        <w:fldChar w:fldCharType="separate"/>
      </w:r>
      <w:r>
        <w:rPr>
          <w:rFonts w:cstheme="minorHAnsi"/>
          <w:b/>
          <w:i w:val="0"/>
          <w:iCs w:val="0"/>
          <w:noProof/>
          <w:color w:val="auto"/>
          <w:sz w:val="16"/>
          <w:szCs w:val="16"/>
        </w:rPr>
        <w:t>8</w:t>
      </w:r>
      <w:r w:rsidRPr="00312243">
        <w:rPr>
          <w:rFonts w:cstheme="minorHAnsi"/>
          <w:b/>
          <w:i w:val="0"/>
          <w:iCs w:val="0"/>
          <w:color w:val="auto"/>
          <w:sz w:val="16"/>
          <w:szCs w:val="16"/>
        </w:rPr>
        <w:fldChar w:fldCharType="end"/>
      </w:r>
      <w:r w:rsidR="00646F55" w:rsidRPr="00705E01">
        <w:rPr>
          <w:b/>
          <w:bCs/>
          <w:i w:val="0"/>
          <w:color w:val="auto"/>
          <w:sz w:val="16"/>
        </w:rPr>
        <w:t>.</w:t>
      </w:r>
      <w:r w:rsidR="00646F55" w:rsidRPr="00705E01">
        <w:t xml:space="preserve"> </w:t>
      </w:r>
      <w:r w:rsidR="00646F55" w:rsidRPr="00705E01">
        <w:rPr>
          <w:rFonts w:cs="Calibri"/>
          <w:i w:val="0"/>
          <w:color w:val="auto"/>
          <w:sz w:val="16"/>
        </w:rPr>
        <w:t>Intensidad de generación de CO</w:t>
      </w:r>
      <w:r w:rsidR="00646F55" w:rsidRPr="00705E01">
        <w:rPr>
          <w:rFonts w:cs="Calibri"/>
          <w:i w:val="0"/>
          <w:color w:val="auto"/>
          <w:sz w:val="16"/>
          <w:vertAlign w:val="subscript"/>
        </w:rPr>
        <w:t>2</w:t>
      </w:r>
      <w:r w:rsidR="00646F55" w:rsidRPr="00705E01">
        <w:rPr>
          <w:rFonts w:cs="Calibri"/>
          <w:i w:val="0"/>
          <w:color w:val="auto"/>
          <w:sz w:val="16"/>
        </w:rPr>
        <w:t xml:space="preserve"> (kg CO</w:t>
      </w:r>
      <w:r w:rsidR="00646F55" w:rsidRPr="00705E01">
        <w:rPr>
          <w:rFonts w:cs="Calibri"/>
          <w:i w:val="0"/>
          <w:color w:val="auto"/>
          <w:sz w:val="16"/>
          <w:vertAlign w:val="subscript"/>
        </w:rPr>
        <w:t>2</w:t>
      </w:r>
      <w:r w:rsidR="00646F55" w:rsidRPr="00705E01">
        <w:rPr>
          <w:rFonts w:cs="Calibri"/>
          <w:i w:val="0"/>
          <w:color w:val="auto"/>
          <w:sz w:val="16"/>
        </w:rPr>
        <w:t>-eq</w:t>
      </w:r>
      <w:r w:rsidR="00646F55" w:rsidRPr="00705E01">
        <w:rPr>
          <w:rStyle w:val="Refdenotaalpie"/>
          <w:rFonts w:cs="Times New Roman"/>
          <w:i w:val="0"/>
          <w:color w:val="auto"/>
          <w:sz w:val="20"/>
          <w:szCs w:val="20"/>
          <w:lang w:val="es-ES_tradnl" w:eastAsia="es-ES_tradnl"/>
        </w:rPr>
        <w:footnoteReference w:id="10"/>
      </w:r>
      <w:r w:rsidR="00646F55" w:rsidRPr="00705E01">
        <w:rPr>
          <w:rFonts w:cs="Calibri"/>
          <w:i w:val="0"/>
          <w:color w:val="auto"/>
          <w:sz w:val="16"/>
        </w:rPr>
        <w:t>/ US$ corrientes), por actividad económica (</w:t>
      </w:r>
      <w:r w:rsidR="003540AD" w:rsidRPr="00705E01">
        <w:rPr>
          <w:rFonts w:cs="Calibri"/>
          <w:i w:val="0"/>
          <w:color w:val="auto"/>
          <w:sz w:val="16"/>
        </w:rPr>
        <w:t>20</w:t>
      </w:r>
      <w:r w:rsidR="00EB22A8">
        <w:rPr>
          <w:rFonts w:cs="Calibri"/>
          <w:i w:val="0"/>
          <w:color w:val="auto"/>
          <w:sz w:val="16"/>
        </w:rPr>
        <w:t>20</w:t>
      </w:r>
      <w:r w:rsidR="00646F55" w:rsidRPr="00705E01">
        <w:rPr>
          <w:rFonts w:cs="Calibri"/>
          <w:i w:val="0"/>
          <w:color w:val="auto"/>
          <w:sz w:val="16"/>
        </w:rPr>
        <w:t>-</w:t>
      </w:r>
      <w:r w:rsidR="003540AD" w:rsidRPr="00705E01">
        <w:rPr>
          <w:rFonts w:cs="Calibri"/>
          <w:i w:val="0"/>
          <w:color w:val="auto"/>
          <w:sz w:val="16"/>
        </w:rPr>
        <w:t>202</w:t>
      </w:r>
      <w:r w:rsidR="00EB22A8">
        <w:rPr>
          <w:rFonts w:cs="Calibri"/>
          <w:i w:val="0"/>
          <w:color w:val="auto"/>
          <w:sz w:val="16"/>
        </w:rPr>
        <w:t>1</w:t>
      </w:r>
      <w:r w:rsidR="00646F55" w:rsidRPr="00705E01">
        <w:rPr>
          <w:rFonts w:cs="Calibri"/>
          <w:i w:val="0"/>
          <w:color w:val="auto"/>
          <w:sz w:val="16"/>
        </w:rPr>
        <w:t>).</w:t>
      </w:r>
      <w:bookmarkEnd w:id="19"/>
    </w:p>
    <w:p w14:paraId="359A72C0" w14:textId="764D446A" w:rsidR="00646F55" w:rsidRPr="00646F55" w:rsidRDefault="00B056D3" w:rsidP="00646F55">
      <w:pPr>
        <w:jc w:val="both"/>
        <w:rPr>
          <w:rFonts w:ascii="Century Gothic" w:hAnsi="Century Gothic" w:cs="Calibri"/>
          <w:sz w:val="16"/>
          <w:szCs w:val="18"/>
        </w:rPr>
      </w:pPr>
      <w:r>
        <w:rPr>
          <w:noProof/>
        </w:rPr>
        <w:drawing>
          <wp:inline distT="0" distB="0" distL="0" distR="0" wp14:anchorId="0D4694D7" wp14:editId="09440E9B">
            <wp:extent cx="2473325" cy="2553005"/>
            <wp:effectExtent l="0" t="0" r="3175" b="0"/>
            <wp:docPr id="25" name="Gráfico 25">
              <a:extLst xmlns:a="http://schemas.openxmlformats.org/drawingml/2006/main">
                <a:ext uri="{FF2B5EF4-FFF2-40B4-BE49-F238E27FC236}">
                  <a16:creationId xmlns:a16="http://schemas.microsoft.com/office/drawing/2014/main" id="{F4CB7F26-9736-4F5F-8C19-33ADDFEC04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131004D" w14:textId="77777777" w:rsidR="00646F55" w:rsidRPr="00646F55" w:rsidRDefault="00646F55" w:rsidP="00646F55">
      <w:pPr>
        <w:jc w:val="both"/>
        <w:rPr>
          <w:rFonts w:ascii="Century Gothic" w:hAnsi="Century Gothic" w:cs="Calibri"/>
          <w:b/>
          <w:color w:val="404040" w:themeColor="text1" w:themeTint="BF"/>
          <w:sz w:val="14"/>
          <w:szCs w:val="14"/>
        </w:rPr>
      </w:pPr>
    </w:p>
    <w:p w14:paraId="4FE54790" w14:textId="34897D7B"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Fuente:</w:t>
      </w:r>
      <w:r w:rsidRPr="00646F55">
        <w:rPr>
          <w:rFonts w:ascii="Century Gothic" w:hAnsi="Century Gothic" w:cs="Calibri"/>
          <w:color w:val="404040" w:themeColor="text1" w:themeTint="BF"/>
          <w:sz w:val="14"/>
          <w:szCs w:val="14"/>
        </w:rPr>
        <w:t xml:space="preserve"> Módulo Ambiental </w:t>
      </w:r>
      <w:r w:rsidR="00157A37">
        <w:rPr>
          <w:rFonts w:ascii="Century Gothic" w:hAnsi="Century Gothic" w:cs="Calibri"/>
          <w:color w:val="404040" w:themeColor="text1" w:themeTint="BF"/>
          <w:sz w:val="14"/>
          <w:szCs w:val="14"/>
        </w:rPr>
        <w:t xml:space="preserve">Económica </w:t>
      </w:r>
      <w:r w:rsidRPr="00646F55">
        <w:rPr>
          <w:rFonts w:ascii="Century Gothic" w:hAnsi="Century Gothic" w:cs="Calibri"/>
          <w:color w:val="404040" w:themeColor="text1" w:themeTint="BF"/>
          <w:sz w:val="14"/>
          <w:szCs w:val="14"/>
        </w:rPr>
        <w:t xml:space="preserve">ENESEM </w:t>
      </w:r>
      <w:r w:rsidR="003540AD">
        <w:rPr>
          <w:rFonts w:ascii="Century Gothic" w:hAnsi="Century Gothic" w:cs="Calibri"/>
          <w:color w:val="404040" w:themeColor="text1" w:themeTint="BF"/>
          <w:sz w:val="14"/>
          <w:szCs w:val="14"/>
        </w:rPr>
        <w:t>20</w:t>
      </w:r>
      <w:r w:rsidR="00EB22A8">
        <w:rPr>
          <w:rFonts w:ascii="Century Gothic" w:hAnsi="Century Gothic" w:cs="Calibri"/>
          <w:color w:val="404040" w:themeColor="text1" w:themeTint="BF"/>
          <w:sz w:val="14"/>
          <w:szCs w:val="14"/>
        </w:rPr>
        <w:t>20</w:t>
      </w:r>
      <w:r w:rsidRPr="00646F55">
        <w:rPr>
          <w:rFonts w:ascii="Century Gothic" w:hAnsi="Century Gothic" w:cs="Calibri"/>
          <w:color w:val="404040" w:themeColor="text1" w:themeTint="BF"/>
          <w:sz w:val="14"/>
          <w:szCs w:val="14"/>
        </w:rPr>
        <w:t>-</w:t>
      </w:r>
      <w:r w:rsidR="003540AD">
        <w:rPr>
          <w:rFonts w:ascii="Century Gothic" w:hAnsi="Century Gothic" w:cs="Calibri"/>
          <w:color w:val="404040" w:themeColor="text1" w:themeTint="BF"/>
          <w:sz w:val="14"/>
          <w:szCs w:val="14"/>
        </w:rPr>
        <w:t>202</w:t>
      </w:r>
      <w:r w:rsidR="00EB22A8">
        <w:rPr>
          <w:rFonts w:ascii="Century Gothic" w:hAnsi="Century Gothic" w:cs="Calibri"/>
          <w:color w:val="404040" w:themeColor="text1" w:themeTint="BF"/>
          <w:sz w:val="14"/>
          <w:szCs w:val="14"/>
        </w:rPr>
        <w:t>1</w:t>
      </w:r>
      <w:r w:rsidRPr="00646F55">
        <w:rPr>
          <w:rFonts w:ascii="Century Gothic" w:hAnsi="Century Gothic" w:cs="Calibri"/>
          <w:color w:val="404040" w:themeColor="text1" w:themeTint="BF"/>
          <w:sz w:val="14"/>
          <w:szCs w:val="14"/>
        </w:rPr>
        <w:t>.</w:t>
      </w:r>
    </w:p>
    <w:p w14:paraId="6C36F3F7" w14:textId="0292510D" w:rsidR="005D5DE4" w:rsidRDefault="00646F55" w:rsidP="00646F55">
      <w:pPr>
        <w:jc w:val="both"/>
        <w:rPr>
          <w:rFonts w:ascii="Century Gothic" w:hAnsi="Century Gothic" w:cs="Times New Roman"/>
          <w:sz w:val="21"/>
          <w:szCs w:val="21"/>
          <w:lang w:val="es-ES_tradnl" w:eastAsia="es-ES_tradnl"/>
        </w:rPr>
      </w:pPr>
      <w:r w:rsidRPr="00D728A8">
        <w:rPr>
          <w:rFonts w:ascii="Century Gothic" w:hAnsi="Century Gothic" w:cs="Times New Roman"/>
          <w:sz w:val="21"/>
          <w:szCs w:val="21"/>
          <w:lang w:val="es-ES_tradnl" w:eastAsia="es-ES_tradnl"/>
        </w:rPr>
        <w:t xml:space="preserve">Este resultado se asocia con la responsabilidad ambiental de las empresas, cuanto más bajo es mejor. Su valor </w:t>
      </w:r>
      <w:r w:rsidR="0081532A" w:rsidRPr="00D728A8">
        <w:rPr>
          <w:rFonts w:ascii="Century Gothic" w:hAnsi="Century Gothic" w:cs="Times New Roman"/>
          <w:sz w:val="21"/>
          <w:szCs w:val="21"/>
          <w:lang w:val="es-ES_tradnl" w:eastAsia="es-ES_tradnl"/>
        </w:rPr>
        <w:t xml:space="preserve">nacional </w:t>
      </w:r>
      <w:r w:rsidRPr="00D728A8">
        <w:rPr>
          <w:rFonts w:ascii="Century Gothic" w:hAnsi="Century Gothic" w:cs="Times New Roman"/>
          <w:sz w:val="21"/>
          <w:szCs w:val="21"/>
          <w:lang w:val="es-ES_tradnl" w:eastAsia="es-ES_tradnl"/>
        </w:rPr>
        <w:t xml:space="preserve">en el año </w:t>
      </w:r>
      <w:r w:rsidR="003540AD" w:rsidRPr="00D728A8">
        <w:rPr>
          <w:rFonts w:ascii="Century Gothic" w:hAnsi="Century Gothic" w:cs="Times New Roman"/>
          <w:sz w:val="21"/>
          <w:szCs w:val="21"/>
          <w:lang w:val="es-ES_tradnl" w:eastAsia="es-ES_tradnl"/>
        </w:rPr>
        <w:t>202</w:t>
      </w:r>
      <w:r w:rsidR="0081532A" w:rsidRPr="00D728A8">
        <w:rPr>
          <w:rFonts w:ascii="Century Gothic" w:hAnsi="Century Gothic" w:cs="Times New Roman"/>
          <w:sz w:val="21"/>
          <w:szCs w:val="21"/>
          <w:lang w:val="es-ES_tradnl" w:eastAsia="es-ES_tradnl"/>
        </w:rPr>
        <w:t xml:space="preserve">1 </w:t>
      </w:r>
      <w:r w:rsidRPr="00D728A8">
        <w:rPr>
          <w:rFonts w:ascii="Century Gothic" w:hAnsi="Century Gothic" w:cs="Times New Roman"/>
          <w:sz w:val="21"/>
          <w:szCs w:val="21"/>
          <w:lang w:val="es-ES_tradnl" w:eastAsia="es-ES_tradnl"/>
        </w:rPr>
        <w:t>es de 0</w:t>
      </w:r>
      <w:r w:rsidR="00157A37" w:rsidRPr="00D728A8">
        <w:rPr>
          <w:rFonts w:ascii="Century Gothic" w:hAnsi="Century Gothic" w:cs="Times New Roman"/>
          <w:sz w:val="21"/>
          <w:szCs w:val="21"/>
          <w:lang w:val="es-ES_tradnl" w:eastAsia="es-ES_tradnl"/>
        </w:rPr>
        <w:t>,</w:t>
      </w:r>
      <w:r w:rsidR="00832756" w:rsidRPr="00D728A8">
        <w:rPr>
          <w:rFonts w:ascii="Century Gothic" w:hAnsi="Century Gothic" w:cs="Times New Roman"/>
          <w:sz w:val="21"/>
          <w:szCs w:val="21"/>
          <w:lang w:val="es-ES_tradnl" w:eastAsia="es-ES_tradnl"/>
        </w:rPr>
        <w:t>2</w:t>
      </w:r>
      <w:r w:rsidR="00C252E7" w:rsidRPr="00D728A8">
        <w:rPr>
          <w:rFonts w:ascii="Century Gothic" w:hAnsi="Century Gothic" w:cs="Times New Roman"/>
          <w:sz w:val="21"/>
          <w:szCs w:val="21"/>
          <w:lang w:val="es-ES_tradnl" w:eastAsia="es-ES_tradnl"/>
        </w:rPr>
        <w:t>1</w:t>
      </w:r>
      <w:r w:rsidRPr="00D728A8">
        <w:rPr>
          <w:rFonts w:ascii="Century Gothic" w:hAnsi="Century Gothic" w:cs="Times New Roman"/>
          <w:sz w:val="21"/>
          <w:szCs w:val="21"/>
          <w:lang w:val="es-ES_tradnl" w:eastAsia="es-ES_tradnl"/>
        </w:rPr>
        <w:t xml:space="preserve"> kg CO</w:t>
      </w:r>
      <w:r w:rsidRPr="00D728A8">
        <w:rPr>
          <w:rFonts w:ascii="Century Gothic" w:hAnsi="Century Gothic" w:cs="Times New Roman"/>
          <w:sz w:val="21"/>
          <w:szCs w:val="21"/>
          <w:vertAlign w:val="subscript"/>
          <w:lang w:val="es-ES_tradnl" w:eastAsia="es-ES_tradnl"/>
        </w:rPr>
        <w:t>2</w:t>
      </w:r>
      <w:r w:rsidRPr="00D728A8">
        <w:rPr>
          <w:rFonts w:ascii="Century Gothic" w:hAnsi="Century Gothic" w:cs="Times New Roman"/>
          <w:sz w:val="21"/>
          <w:szCs w:val="21"/>
          <w:lang w:val="es-ES_tradnl" w:eastAsia="es-ES_tradnl"/>
        </w:rPr>
        <w:t>-eq / US$ de VAB (</w:t>
      </w:r>
      <w:r w:rsidR="00C67F94" w:rsidRPr="00D728A8">
        <w:rPr>
          <w:rFonts w:ascii="Century Gothic" w:hAnsi="Century Gothic" w:cs="Times New Roman"/>
          <w:sz w:val="21"/>
          <w:szCs w:val="21"/>
          <w:lang w:val="es-ES_tradnl" w:eastAsia="es-ES_tradnl"/>
        </w:rPr>
        <w:t>-</w:t>
      </w:r>
      <w:r w:rsidR="00C252E7" w:rsidRPr="00D728A8">
        <w:rPr>
          <w:rFonts w:ascii="Century Gothic" w:hAnsi="Century Gothic" w:cs="Times New Roman"/>
          <w:sz w:val="21"/>
          <w:szCs w:val="21"/>
          <w:lang w:val="es-ES_tradnl" w:eastAsia="es-ES_tradnl"/>
        </w:rPr>
        <w:t>19</w:t>
      </w:r>
      <w:r w:rsidR="00157A37" w:rsidRPr="00D728A8">
        <w:rPr>
          <w:rFonts w:ascii="Century Gothic" w:hAnsi="Century Gothic" w:cs="Times New Roman"/>
          <w:sz w:val="21"/>
          <w:szCs w:val="21"/>
          <w:lang w:val="es-ES_tradnl" w:eastAsia="es-ES_tradnl"/>
        </w:rPr>
        <w:t>,</w:t>
      </w:r>
      <w:r w:rsidR="00C252E7" w:rsidRPr="00D728A8">
        <w:rPr>
          <w:rFonts w:ascii="Century Gothic" w:hAnsi="Century Gothic" w:cs="Times New Roman"/>
          <w:sz w:val="21"/>
          <w:szCs w:val="21"/>
          <w:lang w:val="es-ES_tradnl" w:eastAsia="es-ES_tradnl"/>
        </w:rPr>
        <w:t>96</w:t>
      </w:r>
      <w:r w:rsidRPr="00D728A8">
        <w:rPr>
          <w:rFonts w:ascii="Century Gothic" w:hAnsi="Century Gothic" w:cs="Times New Roman"/>
          <w:sz w:val="21"/>
          <w:szCs w:val="21"/>
          <w:lang w:val="es-ES_tradnl" w:eastAsia="es-ES_tradnl"/>
        </w:rPr>
        <w:t xml:space="preserve">% respecto al año </w:t>
      </w:r>
      <w:r w:rsidR="003540AD" w:rsidRPr="00D728A8">
        <w:rPr>
          <w:rFonts w:ascii="Century Gothic" w:hAnsi="Century Gothic" w:cs="Times New Roman"/>
          <w:sz w:val="21"/>
          <w:szCs w:val="21"/>
          <w:lang w:val="es-ES_tradnl" w:eastAsia="es-ES_tradnl"/>
        </w:rPr>
        <w:t>20</w:t>
      </w:r>
      <w:r w:rsidR="00C252E7" w:rsidRPr="00D728A8">
        <w:rPr>
          <w:rFonts w:ascii="Century Gothic" w:hAnsi="Century Gothic" w:cs="Times New Roman"/>
          <w:sz w:val="21"/>
          <w:szCs w:val="21"/>
          <w:lang w:val="es-ES_tradnl" w:eastAsia="es-ES_tradnl"/>
        </w:rPr>
        <w:t>20</w:t>
      </w:r>
      <w:r w:rsidRPr="00D728A8">
        <w:rPr>
          <w:rFonts w:ascii="Century Gothic" w:hAnsi="Century Gothic" w:cs="Times New Roman"/>
          <w:sz w:val="21"/>
          <w:szCs w:val="21"/>
          <w:lang w:val="es-ES_tradnl" w:eastAsia="es-ES_tradnl"/>
        </w:rPr>
        <w:t>).</w:t>
      </w:r>
    </w:p>
    <w:p w14:paraId="3C489C5E" w14:textId="77777777" w:rsidR="005D5DE4" w:rsidRDefault="005D5DE4" w:rsidP="00646F55">
      <w:pPr>
        <w:jc w:val="both"/>
        <w:rPr>
          <w:rFonts w:ascii="Century Gothic" w:hAnsi="Century Gothic" w:cs="Times New Roman"/>
          <w:sz w:val="21"/>
          <w:szCs w:val="21"/>
          <w:lang w:val="es-ES_tradnl" w:eastAsia="es-ES_tradnl"/>
        </w:rPr>
      </w:pPr>
    </w:p>
    <w:p w14:paraId="29F744FE" w14:textId="5FF943F3" w:rsidR="00646F55" w:rsidRDefault="00646F55" w:rsidP="00646F55">
      <w:pPr>
        <w:jc w:val="both"/>
        <w:rPr>
          <w:rFonts w:ascii="Century Gothic" w:hAnsi="Century Gothic" w:cs="Times New Roman"/>
          <w:sz w:val="21"/>
          <w:szCs w:val="21"/>
          <w:lang w:val="es-ES_tradnl" w:eastAsia="es-ES_tradnl"/>
        </w:rPr>
      </w:pPr>
      <w:r w:rsidRPr="00A555B4">
        <w:rPr>
          <w:rFonts w:ascii="Century Gothic" w:hAnsi="Century Gothic" w:cs="Times New Roman"/>
          <w:sz w:val="21"/>
          <w:szCs w:val="21"/>
          <w:lang w:val="es-ES_tradnl" w:eastAsia="es-ES_tradnl"/>
        </w:rPr>
        <w:t xml:space="preserve">Este valor es coherente, tanto con el </w:t>
      </w:r>
      <w:r w:rsidR="000F024D" w:rsidRPr="00A555B4">
        <w:rPr>
          <w:rFonts w:ascii="Century Gothic" w:hAnsi="Century Gothic" w:cs="Times New Roman"/>
          <w:sz w:val="21"/>
          <w:szCs w:val="21"/>
          <w:lang w:val="es-ES_tradnl" w:eastAsia="es-ES_tradnl"/>
        </w:rPr>
        <w:t>de</w:t>
      </w:r>
      <w:r w:rsidRPr="00A555B4">
        <w:rPr>
          <w:rFonts w:ascii="Century Gothic" w:hAnsi="Century Gothic" w:cs="Times New Roman"/>
          <w:sz w:val="21"/>
          <w:szCs w:val="21"/>
          <w:lang w:val="es-ES_tradnl" w:eastAsia="es-ES_tradnl"/>
        </w:rPr>
        <w:t>cremento del 1</w:t>
      </w:r>
      <w:r w:rsidR="00097F3D" w:rsidRPr="00A555B4">
        <w:rPr>
          <w:rFonts w:ascii="Century Gothic" w:hAnsi="Century Gothic" w:cs="Times New Roman"/>
          <w:sz w:val="21"/>
          <w:szCs w:val="21"/>
          <w:lang w:val="es-ES_tradnl" w:eastAsia="es-ES_tradnl"/>
        </w:rPr>
        <w:t>4</w:t>
      </w:r>
      <w:r w:rsidR="00157A37" w:rsidRPr="00A555B4">
        <w:rPr>
          <w:rFonts w:ascii="Century Gothic" w:hAnsi="Century Gothic" w:cs="Times New Roman"/>
          <w:sz w:val="21"/>
          <w:szCs w:val="21"/>
          <w:lang w:val="es-ES_tradnl" w:eastAsia="es-ES_tradnl"/>
        </w:rPr>
        <w:t>,</w:t>
      </w:r>
      <w:r w:rsidR="00097F3D" w:rsidRPr="00A555B4">
        <w:rPr>
          <w:rFonts w:ascii="Century Gothic" w:hAnsi="Century Gothic" w:cs="Times New Roman"/>
          <w:sz w:val="21"/>
          <w:szCs w:val="21"/>
          <w:lang w:val="es-ES_tradnl" w:eastAsia="es-ES_tradnl"/>
        </w:rPr>
        <w:t>20</w:t>
      </w:r>
      <w:r w:rsidRPr="00A555B4">
        <w:rPr>
          <w:rFonts w:ascii="Century Gothic" w:hAnsi="Century Gothic" w:cs="Times New Roman"/>
          <w:sz w:val="21"/>
          <w:szCs w:val="21"/>
          <w:lang w:val="es-ES_tradnl" w:eastAsia="es-ES_tradnl"/>
        </w:rPr>
        <w:t xml:space="preserve">% en el indicador de </w:t>
      </w:r>
      <w:r w:rsidRPr="00A555B4">
        <w:rPr>
          <w:rFonts w:ascii="Century Gothic" w:hAnsi="Century Gothic" w:cs="Times New Roman"/>
          <w:i/>
          <w:sz w:val="21"/>
          <w:szCs w:val="21"/>
          <w:lang w:val="es-ES_tradnl" w:eastAsia="es-ES_tradnl"/>
        </w:rPr>
        <w:t>Intensidad Energética</w:t>
      </w:r>
      <w:r w:rsidRPr="00A555B4">
        <w:rPr>
          <w:rFonts w:ascii="Century Gothic" w:hAnsi="Century Gothic" w:cs="Times New Roman"/>
          <w:sz w:val="21"/>
          <w:szCs w:val="21"/>
          <w:lang w:val="es-ES_tradnl" w:eastAsia="es-ES_tradnl"/>
        </w:rPr>
        <w:t xml:space="preserve"> como con </w:t>
      </w:r>
      <w:r w:rsidR="000F024D" w:rsidRPr="00A555B4">
        <w:rPr>
          <w:rFonts w:ascii="Century Gothic" w:hAnsi="Century Gothic" w:cs="Times New Roman"/>
          <w:sz w:val="21"/>
          <w:szCs w:val="21"/>
          <w:lang w:val="es-ES_tradnl" w:eastAsia="es-ES_tradnl"/>
        </w:rPr>
        <w:t>la reducción</w:t>
      </w:r>
      <w:r w:rsidRPr="00A555B4">
        <w:rPr>
          <w:rFonts w:ascii="Century Gothic" w:hAnsi="Century Gothic" w:cs="Times New Roman"/>
          <w:sz w:val="21"/>
          <w:szCs w:val="21"/>
          <w:lang w:val="es-ES_tradnl" w:eastAsia="es-ES_tradnl"/>
        </w:rPr>
        <w:t xml:space="preserve"> en un </w:t>
      </w:r>
      <w:r w:rsidR="00971E72" w:rsidRPr="00A555B4">
        <w:rPr>
          <w:rFonts w:ascii="Century Gothic" w:hAnsi="Century Gothic" w:cs="Times New Roman"/>
          <w:sz w:val="21"/>
          <w:szCs w:val="21"/>
          <w:lang w:val="es-ES_tradnl" w:eastAsia="es-ES_tradnl"/>
        </w:rPr>
        <w:t>16</w:t>
      </w:r>
      <w:r w:rsidR="00157A37" w:rsidRPr="00A555B4">
        <w:rPr>
          <w:rFonts w:ascii="Century Gothic" w:hAnsi="Century Gothic" w:cs="Times New Roman"/>
          <w:sz w:val="21"/>
          <w:szCs w:val="21"/>
          <w:lang w:val="es-ES_tradnl" w:eastAsia="es-ES_tradnl"/>
        </w:rPr>
        <w:t>,</w:t>
      </w:r>
      <w:r w:rsidR="000F024D" w:rsidRPr="00A555B4">
        <w:rPr>
          <w:rFonts w:ascii="Century Gothic" w:hAnsi="Century Gothic" w:cs="Times New Roman"/>
          <w:sz w:val="21"/>
          <w:szCs w:val="21"/>
          <w:lang w:val="es-ES_tradnl" w:eastAsia="es-ES_tradnl"/>
        </w:rPr>
        <w:t>8</w:t>
      </w:r>
      <w:r w:rsidR="00971E72" w:rsidRPr="00A555B4">
        <w:rPr>
          <w:rFonts w:ascii="Century Gothic" w:hAnsi="Century Gothic" w:cs="Times New Roman"/>
          <w:sz w:val="21"/>
          <w:szCs w:val="21"/>
          <w:lang w:val="es-ES_tradnl" w:eastAsia="es-ES_tradnl"/>
        </w:rPr>
        <w:t>9</w:t>
      </w:r>
      <w:r w:rsidRPr="00A555B4">
        <w:rPr>
          <w:rFonts w:ascii="Century Gothic" w:hAnsi="Century Gothic" w:cs="Times New Roman"/>
          <w:sz w:val="21"/>
          <w:szCs w:val="21"/>
          <w:lang w:val="es-ES_tradnl" w:eastAsia="es-ES_tradnl"/>
        </w:rPr>
        <w:t xml:space="preserve">% en el consumo de combustibles fósiles del año </w:t>
      </w:r>
      <w:r w:rsidR="003540AD" w:rsidRPr="00A555B4">
        <w:rPr>
          <w:rFonts w:ascii="Century Gothic" w:hAnsi="Century Gothic" w:cs="Times New Roman"/>
          <w:sz w:val="21"/>
          <w:szCs w:val="21"/>
          <w:lang w:val="es-ES_tradnl" w:eastAsia="es-ES_tradnl"/>
        </w:rPr>
        <w:t>20</w:t>
      </w:r>
      <w:r w:rsidR="00240556" w:rsidRPr="00A555B4">
        <w:rPr>
          <w:rFonts w:ascii="Century Gothic" w:hAnsi="Century Gothic" w:cs="Times New Roman"/>
          <w:sz w:val="21"/>
          <w:szCs w:val="21"/>
          <w:lang w:val="es-ES_tradnl" w:eastAsia="es-ES_tradnl"/>
        </w:rPr>
        <w:t>20</w:t>
      </w:r>
      <w:r w:rsidRPr="00A555B4">
        <w:rPr>
          <w:rFonts w:ascii="Century Gothic" w:hAnsi="Century Gothic" w:cs="Times New Roman"/>
          <w:sz w:val="21"/>
          <w:szCs w:val="21"/>
          <w:lang w:val="es-ES_tradnl" w:eastAsia="es-ES_tradnl"/>
        </w:rPr>
        <w:t xml:space="preserve"> al </w:t>
      </w:r>
      <w:r w:rsidR="003540AD" w:rsidRPr="00A555B4">
        <w:rPr>
          <w:rFonts w:ascii="Century Gothic" w:hAnsi="Century Gothic" w:cs="Times New Roman"/>
          <w:sz w:val="21"/>
          <w:szCs w:val="21"/>
          <w:lang w:val="es-ES_tradnl" w:eastAsia="es-ES_tradnl"/>
        </w:rPr>
        <w:t>202</w:t>
      </w:r>
      <w:r w:rsidR="00240556" w:rsidRPr="00A555B4">
        <w:rPr>
          <w:rFonts w:ascii="Century Gothic" w:hAnsi="Century Gothic" w:cs="Times New Roman"/>
          <w:sz w:val="21"/>
          <w:szCs w:val="21"/>
          <w:lang w:val="es-ES_tradnl" w:eastAsia="es-ES_tradnl"/>
        </w:rPr>
        <w:t>1</w:t>
      </w:r>
      <w:r w:rsidRPr="00A555B4">
        <w:rPr>
          <w:rFonts w:ascii="Century Gothic" w:hAnsi="Century Gothic" w:cs="Times New Roman"/>
          <w:sz w:val="21"/>
          <w:szCs w:val="21"/>
          <w:lang w:val="es-ES_tradnl" w:eastAsia="es-ES_tradnl"/>
        </w:rPr>
        <w:t xml:space="preserve">. De aquí, se deduce que el incremento en uso de energía contaminante no proveniente de combustibles fósiles está cercano al </w:t>
      </w:r>
      <w:r w:rsidR="00D728A8" w:rsidRPr="00A555B4">
        <w:rPr>
          <w:rFonts w:ascii="Century Gothic" w:hAnsi="Century Gothic" w:cs="Times New Roman"/>
          <w:sz w:val="21"/>
          <w:szCs w:val="21"/>
          <w:lang w:val="es-ES_tradnl" w:eastAsia="es-ES_tradnl"/>
        </w:rPr>
        <w:t>16</w:t>
      </w:r>
      <w:r w:rsidR="00157A37" w:rsidRPr="00A555B4">
        <w:rPr>
          <w:rFonts w:ascii="Century Gothic" w:hAnsi="Century Gothic" w:cs="Times New Roman"/>
          <w:sz w:val="21"/>
          <w:szCs w:val="21"/>
          <w:lang w:val="es-ES_tradnl" w:eastAsia="es-ES_tradnl"/>
        </w:rPr>
        <w:t>,</w:t>
      </w:r>
      <w:r w:rsidR="0028218F" w:rsidRPr="00A555B4">
        <w:rPr>
          <w:rFonts w:ascii="Century Gothic" w:hAnsi="Century Gothic" w:cs="Times New Roman"/>
          <w:sz w:val="21"/>
          <w:szCs w:val="21"/>
          <w:lang w:val="es-ES_tradnl" w:eastAsia="es-ES_tradnl"/>
        </w:rPr>
        <w:t>8</w:t>
      </w:r>
      <w:r w:rsidR="00D728A8" w:rsidRPr="00A555B4">
        <w:rPr>
          <w:rFonts w:ascii="Century Gothic" w:hAnsi="Century Gothic" w:cs="Times New Roman"/>
          <w:sz w:val="21"/>
          <w:szCs w:val="21"/>
          <w:lang w:val="es-ES_tradnl" w:eastAsia="es-ES_tradnl"/>
        </w:rPr>
        <w:t>9</w:t>
      </w:r>
      <w:r w:rsidRPr="00A555B4">
        <w:rPr>
          <w:rFonts w:ascii="Century Gothic" w:hAnsi="Century Gothic" w:cs="Times New Roman"/>
          <w:sz w:val="21"/>
          <w:szCs w:val="21"/>
          <w:lang w:val="es-ES_tradnl" w:eastAsia="es-ES_tradnl"/>
        </w:rPr>
        <w:t xml:space="preserve"> – 1</w:t>
      </w:r>
      <w:r w:rsidR="00D728A8" w:rsidRPr="00A555B4">
        <w:rPr>
          <w:rFonts w:ascii="Century Gothic" w:hAnsi="Century Gothic" w:cs="Times New Roman"/>
          <w:sz w:val="21"/>
          <w:szCs w:val="21"/>
          <w:lang w:val="es-ES_tradnl" w:eastAsia="es-ES_tradnl"/>
        </w:rPr>
        <w:t>4</w:t>
      </w:r>
      <w:r w:rsidR="00157A37" w:rsidRPr="00A555B4">
        <w:rPr>
          <w:rFonts w:ascii="Century Gothic" w:hAnsi="Century Gothic" w:cs="Times New Roman"/>
          <w:sz w:val="21"/>
          <w:szCs w:val="21"/>
          <w:lang w:val="es-ES_tradnl" w:eastAsia="es-ES_tradnl"/>
        </w:rPr>
        <w:t>,</w:t>
      </w:r>
      <w:r w:rsidR="00D728A8" w:rsidRPr="00A555B4">
        <w:rPr>
          <w:rFonts w:ascii="Century Gothic" w:hAnsi="Century Gothic" w:cs="Times New Roman"/>
          <w:sz w:val="21"/>
          <w:szCs w:val="21"/>
          <w:lang w:val="es-ES_tradnl" w:eastAsia="es-ES_tradnl"/>
        </w:rPr>
        <w:t>20</w:t>
      </w:r>
      <w:r w:rsidRPr="00A555B4">
        <w:rPr>
          <w:rFonts w:ascii="Century Gothic" w:hAnsi="Century Gothic" w:cs="Times New Roman"/>
          <w:sz w:val="21"/>
          <w:szCs w:val="21"/>
          <w:lang w:val="es-ES_tradnl" w:eastAsia="es-ES_tradnl"/>
        </w:rPr>
        <w:t xml:space="preserve"> = </w:t>
      </w:r>
      <w:r w:rsidR="00D728A8" w:rsidRPr="00A555B4">
        <w:rPr>
          <w:rFonts w:ascii="Century Gothic" w:hAnsi="Century Gothic" w:cs="Times New Roman"/>
          <w:sz w:val="21"/>
          <w:szCs w:val="21"/>
          <w:lang w:val="es-ES_tradnl" w:eastAsia="es-ES_tradnl"/>
        </w:rPr>
        <w:t>2</w:t>
      </w:r>
      <w:r w:rsidR="00157A37" w:rsidRPr="00A555B4">
        <w:rPr>
          <w:rFonts w:ascii="Century Gothic" w:hAnsi="Century Gothic" w:cs="Times New Roman"/>
          <w:sz w:val="21"/>
          <w:szCs w:val="21"/>
          <w:lang w:val="es-ES_tradnl" w:eastAsia="es-ES_tradnl"/>
        </w:rPr>
        <w:t>,</w:t>
      </w:r>
      <w:r w:rsidR="00D728A8" w:rsidRPr="00A555B4">
        <w:rPr>
          <w:rFonts w:ascii="Century Gothic" w:hAnsi="Century Gothic" w:cs="Times New Roman"/>
          <w:sz w:val="21"/>
          <w:szCs w:val="21"/>
          <w:lang w:val="es-ES_tradnl" w:eastAsia="es-ES_tradnl"/>
        </w:rPr>
        <w:t>69</w:t>
      </w:r>
      <w:r w:rsidRPr="00A555B4">
        <w:rPr>
          <w:rFonts w:ascii="Century Gothic" w:hAnsi="Century Gothic" w:cs="Times New Roman"/>
          <w:sz w:val="21"/>
          <w:szCs w:val="21"/>
          <w:lang w:val="es-ES_tradnl" w:eastAsia="es-ES_tradnl"/>
        </w:rPr>
        <w:t xml:space="preserve">%. Como referencia, </w:t>
      </w:r>
      <w:r w:rsidRPr="00A555B4">
        <w:rPr>
          <w:rFonts w:ascii="Century Gothic" w:hAnsi="Century Gothic"/>
          <w:sz w:val="21"/>
          <w:szCs w:val="21"/>
        </w:rPr>
        <w:t xml:space="preserve">durante el año </w:t>
      </w:r>
      <w:r w:rsidR="003540AD" w:rsidRPr="00A555B4">
        <w:rPr>
          <w:rFonts w:ascii="Century Gothic" w:hAnsi="Century Gothic"/>
          <w:sz w:val="21"/>
          <w:szCs w:val="21"/>
        </w:rPr>
        <w:t>2019</w:t>
      </w:r>
      <w:r w:rsidRPr="00A555B4">
        <w:rPr>
          <w:rFonts w:ascii="Century Gothic" w:hAnsi="Century Gothic"/>
          <w:sz w:val="21"/>
          <w:szCs w:val="21"/>
        </w:rPr>
        <w:t xml:space="preserve">, </w:t>
      </w:r>
      <w:r w:rsidRPr="00A555B4">
        <w:rPr>
          <w:rFonts w:ascii="Century Gothic" w:hAnsi="Century Gothic" w:cs="Times New Roman"/>
          <w:sz w:val="21"/>
          <w:szCs w:val="21"/>
          <w:lang w:val="es-ES_tradnl" w:eastAsia="es-ES_tradnl"/>
        </w:rPr>
        <w:t>e</w:t>
      </w:r>
      <w:r w:rsidRPr="00A555B4">
        <w:rPr>
          <w:rFonts w:ascii="Century Gothic" w:hAnsi="Century Gothic"/>
          <w:sz w:val="21"/>
          <w:szCs w:val="21"/>
        </w:rPr>
        <w:t>n Colombia, el valor de este indicador fue de 0</w:t>
      </w:r>
      <w:r w:rsidR="00157A37" w:rsidRPr="00A555B4">
        <w:rPr>
          <w:rFonts w:ascii="Century Gothic" w:hAnsi="Century Gothic"/>
          <w:sz w:val="21"/>
          <w:szCs w:val="21"/>
        </w:rPr>
        <w:t>,</w:t>
      </w:r>
      <w:r w:rsidRPr="00A555B4">
        <w:rPr>
          <w:rFonts w:ascii="Century Gothic" w:hAnsi="Century Gothic"/>
          <w:sz w:val="21"/>
          <w:szCs w:val="21"/>
        </w:rPr>
        <w:t xml:space="preserve">405 kg de CO2-eq / </w:t>
      </w:r>
      <w:r w:rsidRPr="00A555B4">
        <w:rPr>
          <w:rFonts w:ascii="Century Gothic" w:hAnsi="Century Gothic" w:cs="Times New Roman"/>
          <w:sz w:val="21"/>
          <w:szCs w:val="21"/>
          <w:lang w:val="es-ES_tradnl" w:eastAsia="es-ES_tradnl"/>
        </w:rPr>
        <w:t>US$</w:t>
      </w:r>
      <w:r w:rsidRPr="00A555B4">
        <w:rPr>
          <w:rStyle w:val="Refdenotaalpie"/>
          <w:rFonts w:ascii="Century Gothic" w:hAnsi="Century Gothic" w:cs="Times New Roman"/>
          <w:sz w:val="21"/>
          <w:szCs w:val="21"/>
          <w:lang w:val="es-ES_tradnl" w:eastAsia="es-ES_tradnl"/>
        </w:rPr>
        <w:footnoteReference w:id="11"/>
      </w:r>
      <w:r w:rsidRPr="00A555B4">
        <w:rPr>
          <w:rFonts w:ascii="Century Gothic" w:hAnsi="Century Gothic" w:cs="Times New Roman"/>
          <w:sz w:val="21"/>
          <w:szCs w:val="21"/>
          <w:lang w:val="es-ES_tradnl" w:eastAsia="es-ES_tradnl"/>
        </w:rPr>
        <w:t xml:space="preserve"> de PIB </w:t>
      </w:r>
      <w:r w:rsidR="003540AD" w:rsidRPr="00A555B4">
        <w:rPr>
          <w:rFonts w:ascii="Century Gothic" w:hAnsi="Century Gothic" w:cs="Times New Roman"/>
          <w:sz w:val="21"/>
          <w:szCs w:val="21"/>
          <w:lang w:val="es-ES_tradnl" w:eastAsia="es-ES_tradnl"/>
        </w:rPr>
        <w:t>2019</w:t>
      </w:r>
      <w:r w:rsidRPr="00A555B4">
        <w:rPr>
          <w:rFonts w:ascii="Century Gothic" w:hAnsi="Century Gothic" w:cs="Times New Roman"/>
          <w:sz w:val="21"/>
          <w:szCs w:val="21"/>
          <w:lang w:val="es-ES_tradnl" w:eastAsia="es-ES_tradnl"/>
        </w:rPr>
        <w:t xml:space="preserve"> para el sector industrial de dicho país.</w:t>
      </w:r>
    </w:p>
    <w:p w14:paraId="044F5B6D" w14:textId="77777777" w:rsidR="00D1537D" w:rsidRPr="005D5DE4" w:rsidRDefault="00D1537D" w:rsidP="00646F55">
      <w:pPr>
        <w:jc w:val="both"/>
        <w:rPr>
          <w:rFonts w:ascii="Century Gothic" w:hAnsi="Century Gothic" w:cs="Times New Roman"/>
          <w:sz w:val="21"/>
          <w:szCs w:val="21"/>
          <w:lang w:val="es-ES_tradnl" w:eastAsia="es-ES_tradnl"/>
        </w:rPr>
      </w:pPr>
    </w:p>
    <w:p w14:paraId="4B6983DD" w14:textId="09E2D622" w:rsidR="00646F55" w:rsidRDefault="00AA2709" w:rsidP="00AA2709">
      <w:pPr>
        <w:jc w:val="both"/>
        <w:rPr>
          <w:rFonts w:ascii="Century Gothic" w:hAnsi="Century Gothic" w:cs="Times New Roman"/>
          <w:sz w:val="21"/>
          <w:szCs w:val="21"/>
          <w:lang w:val="es-ES_tradnl" w:eastAsia="es-ES_tradnl"/>
        </w:rPr>
      </w:pPr>
      <w:r>
        <w:rPr>
          <w:rFonts w:ascii="Century Gothic" w:hAnsi="Century Gothic" w:cs="Times New Roman"/>
          <w:sz w:val="21"/>
          <w:szCs w:val="21"/>
          <w:lang w:val="es-ES_tradnl" w:eastAsia="es-ES_tradnl"/>
        </w:rPr>
        <w:t>Los resultados más importantes obtenidos para el año 2021 para el indicador de intensidad de generación de CO</w:t>
      </w:r>
      <w:r w:rsidRPr="0034400D">
        <w:rPr>
          <w:rFonts w:ascii="Century Gothic" w:hAnsi="Century Gothic" w:cs="Times New Roman"/>
          <w:sz w:val="21"/>
          <w:szCs w:val="21"/>
          <w:vertAlign w:val="subscript"/>
          <w:lang w:val="es-ES_tradnl" w:eastAsia="es-ES_tradnl"/>
        </w:rPr>
        <w:t>2</w:t>
      </w:r>
      <w:r>
        <w:rPr>
          <w:rFonts w:ascii="Century Gothic" w:hAnsi="Century Gothic" w:cs="Times New Roman"/>
          <w:sz w:val="21"/>
          <w:szCs w:val="21"/>
          <w:lang w:val="es-ES_tradnl" w:eastAsia="es-ES_tradnl"/>
        </w:rPr>
        <w:t xml:space="preserve"> es que el sector </w:t>
      </w:r>
      <w:r w:rsidRPr="00016076">
        <w:rPr>
          <w:rFonts w:ascii="Century Gothic" w:hAnsi="Century Gothic" w:cs="Times New Roman"/>
          <w:i/>
          <w:iCs/>
          <w:sz w:val="21"/>
          <w:szCs w:val="21"/>
          <w:lang w:val="es-ES_tradnl" w:eastAsia="es-ES_tradnl"/>
        </w:rPr>
        <w:t>Suministro de electricidad, gas y vapor</w:t>
      </w:r>
      <w:r>
        <w:rPr>
          <w:rFonts w:ascii="Century Gothic" w:hAnsi="Century Gothic" w:cs="Times New Roman"/>
          <w:sz w:val="21"/>
          <w:szCs w:val="21"/>
          <w:lang w:val="es-ES_tradnl" w:eastAsia="es-ES_tradnl"/>
        </w:rPr>
        <w:t xml:space="preserve"> ha reducido en un 40,94% su valor con respecto al año 2020. Esto es muy importante, dada cuenta que el sector es el encargado de producir más del 92% de toda la energía eléctrica que requiere el país.</w:t>
      </w:r>
    </w:p>
    <w:p w14:paraId="5E3D89AD" w14:textId="79D79BF1" w:rsidR="00016076" w:rsidRDefault="00016076" w:rsidP="00AA2709">
      <w:pPr>
        <w:jc w:val="both"/>
        <w:rPr>
          <w:rFonts w:ascii="Century Gothic" w:hAnsi="Century Gothic" w:cs="Times New Roman"/>
          <w:sz w:val="21"/>
          <w:szCs w:val="21"/>
          <w:lang w:val="es-ES_tradnl" w:eastAsia="es-ES_tradnl"/>
        </w:rPr>
      </w:pPr>
    </w:p>
    <w:p w14:paraId="5F86748B" w14:textId="51E3A55C" w:rsidR="00016076" w:rsidRDefault="00016076" w:rsidP="00AA2709">
      <w:pPr>
        <w:jc w:val="both"/>
        <w:rPr>
          <w:rFonts w:ascii="Century Gothic" w:hAnsi="Century Gothic" w:cs="Times New Roman"/>
          <w:sz w:val="21"/>
          <w:szCs w:val="21"/>
          <w:lang w:val="es-ES_tradnl" w:eastAsia="es-ES_tradnl"/>
        </w:rPr>
      </w:pPr>
      <w:r>
        <w:rPr>
          <w:rFonts w:ascii="Century Gothic" w:hAnsi="Century Gothic" w:cs="Times New Roman"/>
          <w:sz w:val="21"/>
          <w:szCs w:val="21"/>
          <w:lang w:val="es-ES_tradnl" w:eastAsia="es-ES_tradnl"/>
        </w:rPr>
        <w:t xml:space="preserve">Al mismo tiempo, se verifica un aumento de 21,89% en este indicador para el sector de </w:t>
      </w:r>
      <w:r w:rsidRPr="00016076">
        <w:rPr>
          <w:rFonts w:ascii="Century Gothic" w:hAnsi="Century Gothic" w:cs="Times New Roman"/>
          <w:i/>
          <w:iCs/>
          <w:sz w:val="21"/>
          <w:szCs w:val="21"/>
          <w:lang w:val="es-ES_tradnl" w:eastAsia="es-ES_tradnl"/>
        </w:rPr>
        <w:t>Transporte y Almacenamiento</w:t>
      </w:r>
      <w:r>
        <w:rPr>
          <w:rFonts w:ascii="Century Gothic" w:hAnsi="Century Gothic" w:cs="Times New Roman"/>
          <w:sz w:val="21"/>
          <w:szCs w:val="21"/>
          <w:lang w:val="es-ES_tradnl" w:eastAsia="es-ES_tradnl"/>
        </w:rPr>
        <w:t xml:space="preserve"> con respecto al año 2020. Esto se explica básicamente por el regreso de la sociedad a las actividades normales en el año 2021, incrementándose el uso de transporte para este año con respecto al año </w:t>
      </w:r>
      <w:r w:rsidRPr="00B631B5">
        <w:rPr>
          <w:rFonts w:ascii="Century Gothic" w:hAnsi="Century Gothic" w:cs="Times New Roman"/>
          <w:sz w:val="21"/>
          <w:szCs w:val="21"/>
          <w:lang w:val="es-ES_tradnl" w:eastAsia="es-ES_tradnl"/>
        </w:rPr>
        <w:lastRenderedPageBreak/>
        <w:t>2020. Los demás sectores registran un descenso de moderado a elevado en este indicador, debido sobre todo a la reducción en el consumo de combustibles fósiles, como ya se había mencionado en el apartado de Energía y Combustibles.</w:t>
      </w:r>
    </w:p>
    <w:p w14:paraId="4B0A6335" w14:textId="77777777" w:rsidR="005D5DE4" w:rsidRPr="005D5DE4" w:rsidRDefault="005D5DE4" w:rsidP="00646F55">
      <w:pPr>
        <w:jc w:val="both"/>
        <w:rPr>
          <w:rFonts w:ascii="Century Gothic" w:hAnsi="Century Gothic" w:cs="Times New Roman"/>
          <w:sz w:val="21"/>
          <w:szCs w:val="21"/>
          <w:lang w:val="es-ES_tradnl" w:eastAsia="es-ES_tradnl"/>
        </w:rPr>
      </w:pPr>
    </w:p>
    <w:p w14:paraId="2496E225" w14:textId="2276F927" w:rsidR="00646F55" w:rsidRPr="005D5DE4" w:rsidRDefault="00646F55" w:rsidP="00646F55">
      <w:pPr>
        <w:pStyle w:val="Ttulo2"/>
        <w:numPr>
          <w:ilvl w:val="0"/>
          <w:numId w:val="12"/>
        </w:numPr>
        <w:rPr>
          <w:rFonts w:ascii="Century Gothic" w:hAnsi="Century Gothic"/>
          <w:color w:val="767171" w:themeColor="background2" w:themeShade="80"/>
          <w:sz w:val="24"/>
        </w:rPr>
      </w:pPr>
      <w:bookmarkStart w:id="20" w:name="_Toc132722347"/>
      <w:r w:rsidRPr="00646F55">
        <w:rPr>
          <w:rFonts w:ascii="Century Gothic" w:hAnsi="Century Gothic"/>
          <w:color w:val="767171" w:themeColor="background2" w:themeShade="80"/>
          <w:sz w:val="24"/>
        </w:rPr>
        <w:t>Agua de consumo y aguas residuales</w:t>
      </w:r>
      <w:bookmarkEnd w:id="20"/>
    </w:p>
    <w:p w14:paraId="49411A92" w14:textId="77777777" w:rsidR="005D5DE4" w:rsidRPr="005D5DE4" w:rsidRDefault="005D5DE4" w:rsidP="00646F55">
      <w:pPr>
        <w:jc w:val="both"/>
        <w:rPr>
          <w:rFonts w:ascii="Century Gothic" w:hAnsi="Century Gothic" w:cs="Times New Roman"/>
          <w:sz w:val="21"/>
          <w:szCs w:val="21"/>
          <w:lang w:val="es-ES_tradnl" w:eastAsia="es-ES_tradnl"/>
        </w:rPr>
      </w:pPr>
    </w:p>
    <w:p w14:paraId="4B6E7816" w14:textId="4A305C5B" w:rsidR="00646F55" w:rsidRPr="005D5DE4" w:rsidRDefault="00646F55" w:rsidP="00646F55">
      <w:pPr>
        <w:jc w:val="both"/>
        <w:rPr>
          <w:rFonts w:ascii="Century Gothic" w:hAnsi="Century Gothic" w:cstheme="minorHAnsi"/>
          <w:sz w:val="21"/>
          <w:szCs w:val="21"/>
        </w:rPr>
      </w:pPr>
      <w:r w:rsidRPr="00DC3112">
        <w:rPr>
          <w:rFonts w:ascii="Century Gothic" w:hAnsi="Century Gothic" w:cs="Times New Roman"/>
          <w:sz w:val="21"/>
          <w:szCs w:val="21"/>
          <w:lang w:val="es-ES_tradnl" w:eastAsia="es-ES_tradnl"/>
        </w:rPr>
        <w:t xml:space="preserve">Existe otro importante indicador de acoplamiento económico ambiental, </w:t>
      </w:r>
      <w:r w:rsidRPr="00DC3112">
        <w:rPr>
          <w:rFonts w:ascii="Century Gothic" w:hAnsi="Century Gothic" w:cs="Times New Roman"/>
          <w:b/>
          <w:i/>
          <w:sz w:val="21"/>
          <w:szCs w:val="21"/>
          <w:lang w:val="es-ES_tradnl" w:eastAsia="es-ES_tradnl"/>
        </w:rPr>
        <w:t>Intensidad de uso del agua</w:t>
      </w:r>
      <w:r w:rsidRPr="00DC3112">
        <w:rPr>
          <w:rFonts w:ascii="Century Gothic" w:hAnsi="Century Gothic" w:cs="Times New Roman"/>
          <w:sz w:val="21"/>
          <w:szCs w:val="21"/>
          <w:lang w:val="es-ES_tradnl" w:eastAsia="es-ES_tradnl"/>
        </w:rPr>
        <w:t xml:space="preserve">. Este indicador se asocia con la </w:t>
      </w:r>
      <w:r w:rsidR="00215429" w:rsidRPr="00DC3112">
        <w:rPr>
          <w:rFonts w:ascii="Century Gothic" w:hAnsi="Century Gothic" w:cs="Times New Roman"/>
          <w:sz w:val="21"/>
          <w:szCs w:val="21"/>
          <w:lang w:val="es-ES_tradnl" w:eastAsia="es-ES_tradnl"/>
        </w:rPr>
        <w:t>responsabilidad</w:t>
      </w:r>
      <w:r w:rsidRPr="00DC3112">
        <w:rPr>
          <w:rFonts w:ascii="Century Gothic" w:hAnsi="Century Gothic" w:cs="Times New Roman"/>
          <w:sz w:val="21"/>
          <w:szCs w:val="21"/>
          <w:lang w:val="es-ES_tradnl" w:eastAsia="es-ES_tradnl"/>
        </w:rPr>
        <w:t xml:space="preserve"> ambiental de las empresas; cuanto más bajo es mejor. El valor de </w:t>
      </w:r>
      <w:r w:rsidR="00CF6D5A" w:rsidRPr="00DC3112">
        <w:rPr>
          <w:rFonts w:ascii="Century Gothic" w:hAnsi="Century Gothic" w:cs="Times New Roman"/>
          <w:sz w:val="21"/>
          <w:szCs w:val="21"/>
          <w:lang w:val="es-ES_tradnl" w:eastAsia="es-ES_tradnl"/>
        </w:rPr>
        <w:t>2</w:t>
      </w:r>
      <w:r w:rsidR="00E82712" w:rsidRPr="00DC3112">
        <w:rPr>
          <w:rFonts w:ascii="Century Gothic" w:hAnsi="Century Gothic" w:cs="Times New Roman"/>
          <w:sz w:val="21"/>
          <w:szCs w:val="21"/>
          <w:lang w:val="es-ES_tradnl" w:eastAsia="es-ES_tradnl"/>
        </w:rPr>
        <w:t>,</w:t>
      </w:r>
      <w:r w:rsidR="00EF586A" w:rsidRPr="00DC3112">
        <w:rPr>
          <w:rFonts w:ascii="Century Gothic" w:hAnsi="Century Gothic" w:cs="Times New Roman"/>
          <w:sz w:val="21"/>
          <w:szCs w:val="21"/>
          <w:lang w:val="es-ES_tradnl" w:eastAsia="es-ES_tradnl"/>
        </w:rPr>
        <w:t>55</w:t>
      </w:r>
      <w:r w:rsidRPr="00DC3112">
        <w:rPr>
          <w:rFonts w:ascii="Century Gothic" w:hAnsi="Century Gothic" w:cs="Times New Roman"/>
          <w:sz w:val="21"/>
          <w:szCs w:val="21"/>
          <w:lang w:val="es-ES_tradnl" w:eastAsia="es-ES_tradnl"/>
        </w:rPr>
        <w:t xml:space="preserve"> m</w:t>
      </w:r>
      <w:r w:rsidRPr="00DC3112">
        <w:rPr>
          <w:rFonts w:ascii="Century Gothic" w:hAnsi="Century Gothic" w:cs="Times New Roman"/>
          <w:sz w:val="21"/>
          <w:szCs w:val="21"/>
          <w:vertAlign w:val="superscript"/>
          <w:lang w:val="es-ES_tradnl" w:eastAsia="es-ES_tradnl"/>
        </w:rPr>
        <w:t>3</w:t>
      </w:r>
      <w:r w:rsidRPr="00DC3112">
        <w:rPr>
          <w:rFonts w:ascii="Century Gothic" w:hAnsi="Century Gothic" w:cs="Times New Roman"/>
          <w:sz w:val="21"/>
          <w:szCs w:val="21"/>
          <w:lang w:val="es-ES_tradnl" w:eastAsia="es-ES_tradnl"/>
        </w:rPr>
        <w:t xml:space="preserve"> H</w:t>
      </w:r>
      <w:r w:rsidRPr="00DC3112">
        <w:rPr>
          <w:rFonts w:ascii="Century Gothic" w:hAnsi="Century Gothic" w:cs="Times New Roman"/>
          <w:sz w:val="21"/>
          <w:szCs w:val="21"/>
          <w:vertAlign w:val="subscript"/>
          <w:lang w:val="es-ES_tradnl" w:eastAsia="es-ES_tradnl"/>
        </w:rPr>
        <w:t>2</w:t>
      </w:r>
      <w:r w:rsidRPr="00DC3112">
        <w:rPr>
          <w:rFonts w:ascii="Century Gothic" w:hAnsi="Century Gothic" w:cs="Times New Roman"/>
          <w:sz w:val="21"/>
          <w:szCs w:val="21"/>
          <w:lang w:val="es-ES_tradnl" w:eastAsia="es-ES_tradnl"/>
        </w:rPr>
        <w:t>O / 1</w:t>
      </w:r>
      <w:r w:rsidR="00E82712" w:rsidRPr="00DC3112">
        <w:rPr>
          <w:rFonts w:ascii="Century Gothic" w:hAnsi="Century Gothic" w:cs="Times New Roman"/>
          <w:sz w:val="21"/>
          <w:szCs w:val="21"/>
          <w:lang w:val="es-ES_tradnl" w:eastAsia="es-ES_tradnl"/>
        </w:rPr>
        <w:t>.</w:t>
      </w:r>
      <w:r w:rsidRPr="00DC3112">
        <w:rPr>
          <w:rFonts w:ascii="Century Gothic" w:hAnsi="Century Gothic" w:cs="Times New Roman"/>
          <w:sz w:val="21"/>
          <w:szCs w:val="21"/>
          <w:lang w:val="es-ES_tradnl" w:eastAsia="es-ES_tradnl"/>
        </w:rPr>
        <w:t>000US$</w:t>
      </w:r>
      <w:r w:rsidRPr="00DC3112">
        <w:rPr>
          <w:rStyle w:val="Refdenotaalpie"/>
          <w:rFonts w:ascii="Century Gothic" w:hAnsi="Century Gothic" w:cs="Times New Roman"/>
          <w:sz w:val="21"/>
          <w:szCs w:val="21"/>
          <w:lang w:val="es-ES_tradnl" w:eastAsia="es-ES_tradnl"/>
        </w:rPr>
        <w:footnoteReference w:id="12"/>
      </w:r>
      <w:r w:rsidRPr="00DC3112">
        <w:rPr>
          <w:rFonts w:ascii="Century Gothic" w:hAnsi="Century Gothic" w:cs="Times New Roman"/>
          <w:sz w:val="21"/>
          <w:szCs w:val="21"/>
          <w:lang w:val="es-ES_tradnl" w:eastAsia="es-ES_tradnl"/>
        </w:rPr>
        <w:t xml:space="preserve"> de VAB, obtenido a nivel nacional en el año </w:t>
      </w:r>
      <w:r w:rsidR="003540AD" w:rsidRPr="00DC3112">
        <w:rPr>
          <w:rFonts w:ascii="Century Gothic" w:hAnsi="Century Gothic" w:cs="Times New Roman"/>
          <w:sz w:val="21"/>
          <w:szCs w:val="21"/>
          <w:lang w:val="es-ES_tradnl" w:eastAsia="es-ES_tradnl"/>
        </w:rPr>
        <w:t>2020</w:t>
      </w:r>
      <w:r w:rsidRPr="00DC3112">
        <w:rPr>
          <w:rFonts w:ascii="Century Gothic" w:hAnsi="Century Gothic" w:cs="Times New Roman"/>
          <w:sz w:val="21"/>
          <w:szCs w:val="21"/>
          <w:lang w:val="es-ES_tradnl" w:eastAsia="es-ES_tradnl"/>
        </w:rPr>
        <w:t xml:space="preserve"> (</w:t>
      </w:r>
      <w:r w:rsidR="00EF586A" w:rsidRPr="00DC3112">
        <w:rPr>
          <w:rFonts w:ascii="Century Gothic" w:hAnsi="Century Gothic" w:cs="Times New Roman"/>
          <w:sz w:val="21"/>
          <w:szCs w:val="21"/>
          <w:lang w:val="es-ES_tradnl" w:eastAsia="es-ES_tradnl"/>
        </w:rPr>
        <w:t>+8</w:t>
      </w:r>
      <w:r w:rsidR="00E82712" w:rsidRPr="00DC3112">
        <w:rPr>
          <w:rFonts w:ascii="Century Gothic" w:hAnsi="Century Gothic" w:cs="Times New Roman"/>
          <w:sz w:val="21"/>
          <w:szCs w:val="21"/>
          <w:lang w:val="es-ES_tradnl" w:eastAsia="es-ES_tradnl"/>
        </w:rPr>
        <w:t>,</w:t>
      </w:r>
      <w:r w:rsidR="00EF586A" w:rsidRPr="00DC3112">
        <w:rPr>
          <w:rFonts w:ascii="Century Gothic" w:hAnsi="Century Gothic" w:cs="Times New Roman"/>
          <w:sz w:val="21"/>
          <w:szCs w:val="21"/>
          <w:lang w:val="es-ES_tradnl" w:eastAsia="es-ES_tradnl"/>
        </w:rPr>
        <w:t>6</w:t>
      </w:r>
      <w:r w:rsidR="00215429" w:rsidRPr="00DC3112">
        <w:rPr>
          <w:rFonts w:ascii="Century Gothic" w:hAnsi="Century Gothic" w:cs="Times New Roman"/>
          <w:sz w:val="21"/>
          <w:szCs w:val="21"/>
          <w:lang w:val="es-ES_tradnl" w:eastAsia="es-ES_tradnl"/>
        </w:rPr>
        <w:t>0</w:t>
      </w:r>
      <w:r w:rsidRPr="00DC3112">
        <w:rPr>
          <w:rFonts w:ascii="Century Gothic" w:hAnsi="Century Gothic" w:cs="Times New Roman"/>
          <w:sz w:val="21"/>
          <w:szCs w:val="21"/>
          <w:lang w:val="es-ES_tradnl" w:eastAsia="es-ES_tradnl"/>
        </w:rPr>
        <w:t xml:space="preserve">% respecto al año </w:t>
      </w:r>
      <w:r w:rsidR="003540AD" w:rsidRPr="00DC3112">
        <w:rPr>
          <w:rFonts w:ascii="Century Gothic" w:hAnsi="Century Gothic" w:cs="Times New Roman"/>
          <w:sz w:val="21"/>
          <w:szCs w:val="21"/>
          <w:lang w:val="es-ES_tradnl" w:eastAsia="es-ES_tradnl"/>
        </w:rPr>
        <w:t>20</w:t>
      </w:r>
      <w:r w:rsidR="00EF586A" w:rsidRPr="00DC3112">
        <w:rPr>
          <w:rFonts w:ascii="Century Gothic" w:hAnsi="Century Gothic" w:cs="Times New Roman"/>
          <w:sz w:val="21"/>
          <w:szCs w:val="21"/>
          <w:lang w:val="es-ES_tradnl" w:eastAsia="es-ES_tradnl"/>
        </w:rPr>
        <w:t>20</w:t>
      </w:r>
      <w:r w:rsidRPr="00DC3112">
        <w:rPr>
          <w:rFonts w:ascii="Century Gothic" w:hAnsi="Century Gothic" w:cs="Times New Roman"/>
          <w:sz w:val="21"/>
          <w:szCs w:val="21"/>
          <w:lang w:val="es-ES_tradnl" w:eastAsia="es-ES_tradnl"/>
        </w:rPr>
        <w:t>) no es comparable</w:t>
      </w:r>
      <w:r w:rsidRPr="00DC3112">
        <w:rPr>
          <w:rStyle w:val="Refdenotaalpie"/>
          <w:rFonts w:ascii="Century Gothic" w:hAnsi="Century Gothic" w:cs="Times New Roman"/>
          <w:sz w:val="21"/>
          <w:szCs w:val="21"/>
          <w:lang w:val="es-ES_tradnl" w:eastAsia="es-ES_tradnl"/>
        </w:rPr>
        <w:footnoteReference w:id="13"/>
      </w:r>
      <w:r w:rsidRPr="00DC3112">
        <w:rPr>
          <w:rFonts w:ascii="Century Gothic" w:hAnsi="Century Gothic" w:cs="Times New Roman"/>
          <w:sz w:val="21"/>
          <w:szCs w:val="21"/>
          <w:lang w:val="es-ES_tradnl" w:eastAsia="es-ES_tradnl"/>
        </w:rPr>
        <w:t xml:space="preserve"> con el valor de </w:t>
      </w:r>
      <w:r w:rsidRPr="00DC3112">
        <w:rPr>
          <w:rFonts w:ascii="Century Gothic" w:hAnsi="Century Gothic"/>
          <w:sz w:val="21"/>
          <w:szCs w:val="21"/>
        </w:rPr>
        <w:t>724</w:t>
      </w:r>
      <w:r w:rsidR="00E82712" w:rsidRPr="00DC3112">
        <w:rPr>
          <w:rFonts w:ascii="Century Gothic" w:hAnsi="Century Gothic"/>
          <w:sz w:val="21"/>
          <w:szCs w:val="21"/>
        </w:rPr>
        <w:t>,</w:t>
      </w:r>
      <w:r w:rsidRPr="00DC3112">
        <w:rPr>
          <w:rFonts w:ascii="Century Gothic" w:hAnsi="Century Gothic"/>
          <w:sz w:val="21"/>
          <w:szCs w:val="21"/>
        </w:rPr>
        <w:t>62 m</w:t>
      </w:r>
      <w:r w:rsidRPr="00DC3112">
        <w:rPr>
          <w:rFonts w:ascii="Century Gothic" w:hAnsi="Century Gothic"/>
          <w:sz w:val="21"/>
          <w:szCs w:val="21"/>
          <w:vertAlign w:val="superscript"/>
        </w:rPr>
        <w:t>3</w:t>
      </w:r>
      <w:r w:rsidRPr="00DC3112">
        <w:rPr>
          <w:rFonts w:ascii="Century Gothic" w:hAnsi="Century Gothic"/>
          <w:sz w:val="21"/>
          <w:szCs w:val="21"/>
        </w:rPr>
        <w:t xml:space="preserve"> </w:t>
      </w:r>
      <w:r w:rsidRPr="00DC3112">
        <w:rPr>
          <w:rFonts w:ascii="Century Gothic" w:hAnsi="Century Gothic" w:cs="Times New Roman"/>
          <w:sz w:val="21"/>
          <w:szCs w:val="21"/>
          <w:lang w:val="es-ES_tradnl" w:eastAsia="es-ES_tradnl"/>
        </w:rPr>
        <w:t>H</w:t>
      </w:r>
      <w:r w:rsidRPr="00DC3112">
        <w:rPr>
          <w:rFonts w:ascii="Century Gothic" w:hAnsi="Century Gothic" w:cs="Times New Roman"/>
          <w:sz w:val="21"/>
          <w:szCs w:val="21"/>
          <w:vertAlign w:val="subscript"/>
          <w:lang w:val="es-ES_tradnl" w:eastAsia="es-ES_tradnl"/>
        </w:rPr>
        <w:t>2</w:t>
      </w:r>
      <w:r w:rsidRPr="00DC3112">
        <w:rPr>
          <w:rFonts w:ascii="Century Gothic" w:hAnsi="Century Gothic" w:cs="Times New Roman"/>
          <w:sz w:val="21"/>
          <w:szCs w:val="21"/>
          <w:lang w:val="es-ES_tradnl" w:eastAsia="es-ES_tradnl"/>
        </w:rPr>
        <w:t>O / 1</w:t>
      </w:r>
      <w:r w:rsidR="00E82712" w:rsidRPr="00DC3112">
        <w:rPr>
          <w:rFonts w:ascii="Century Gothic" w:hAnsi="Century Gothic" w:cs="Times New Roman"/>
          <w:sz w:val="21"/>
          <w:szCs w:val="21"/>
          <w:lang w:val="es-ES_tradnl" w:eastAsia="es-ES_tradnl"/>
        </w:rPr>
        <w:t>.</w:t>
      </w:r>
      <w:r w:rsidRPr="00DC3112">
        <w:rPr>
          <w:rFonts w:ascii="Century Gothic" w:hAnsi="Century Gothic" w:cs="Times New Roman"/>
          <w:sz w:val="21"/>
          <w:szCs w:val="21"/>
          <w:lang w:val="es-ES_tradnl" w:eastAsia="es-ES_tradnl"/>
        </w:rPr>
        <w:t>000US$ de VAB</w:t>
      </w:r>
      <w:r w:rsidRPr="00DC3112">
        <w:rPr>
          <w:rFonts w:ascii="Century Gothic" w:hAnsi="Century Gothic"/>
          <w:sz w:val="21"/>
          <w:szCs w:val="21"/>
        </w:rPr>
        <w:t xml:space="preserve"> del año </w:t>
      </w:r>
      <w:r w:rsidR="003540AD" w:rsidRPr="00DC3112">
        <w:rPr>
          <w:rFonts w:ascii="Century Gothic" w:hAnsi="Century Gothic"/>
          <w:sz w:val="21"/>
          <w:szCs w:val="21"/>
        </w:rPr>
        <w:t>2019</w:t>
      </w:r>
      <w:r w:rsidRPr="00DC3112">
        <w:rPr>
          <w:rFonts w:ascii="Century Gothic" w:hAnsi="Century Gothic"/>
          <w:sz w:val="21"/>
          <w:szCs w:val="21"/>
        </w:rPr>
        <w:t xml:space="preserve"> para el sector industrial colombiano</w:t>
      </w:r>
      <w:r w:rsidRPr="00DC3112">
        <w:rPr>
          <w:rStyle w:val="Refdenotaalpie"/>
          <w:rFonts w:ascii="Century Gothic" w:hAnsi="Century Gothic"/>
          <w:sz w:val="21"/>
          <w:szCs w:val="21"/>
        </w:rPr>
        <w:footnoteReference w:id="14"/>
      </w:r>
      <w:r w:rsidRPr="00DC3112">
        <w:rPr>
          <w:rFonts w:ascii="Century Gothic" w:hAnsi="Century Gothic"/>
          <w:sz w:val="21"/>
          <w:szCs w:val="21"/>
        </w:rPr>
        <w:t>.</w:t>
      </w:r>
      <w:r w:rsidR="005D5DE4" w:rsidRPr="00DC3112">
        <w:rPr>
          <w:rFonts w:ascii="Century Gothic" w:hAnsi="Century Gothic"/>
          <w:sz w:val="21"/>
          <w:szCs w:val="21"/>
        </w:rPr>
        <w:t xml:space="preserve"> </w:t>
      </w:r>
      <w:r w:rsidR="00137DD9" w:rsidRPr="00DC3112">
        <w:rPr>
          <w:rFonts w:ascii="Century Gothic" w:hAnsi="Century Gothic"/>
          <w:sz w:val="21"/>
          <w:szCs w:val="21"/>
        </w:rPr>
        <w:t>Su incremento se debe al regreso de la sociedad a su habitual forma de vida, después de la pandemia del Covid-19 del año 2020</w:t>
      </w:r>
      <w:r w:rsidR="005D5DE4" w:rsidRPr="00DC3112">
        <w:rPr>
          <w:rFonts w:ascii="Century Gothic" w:hAnsi="Century Gothic"/>
          <w:sz w:val="21"/>
          <w:szCs w:val="21"/>
        </w:rPr>
        <w:t xml:space="preserve">. </w:t>
      </w:r>
      <w:r w:rsidRPr="00DC3112">
        <w:rPr>
          <w:rFonts w:ascii="Century Gothic" w:hAnsi="Century Gothic" w:cstheme="minorHAnsi"/>
          <w:sz w:val="21"/>
          <w:szCs w:val="21"/>
        </w:rPr>
        <w:t xml:space="preserve">Este indicador </w:t>
      </w:r>
      <w:r w:rsidR="00E779F4" w:rsidRPr="00DC3112">
        <w:rPr>
          <w:rFonts w:ascii="Century Gothic" w:hAnsi="Century Gothic" w:cstheme="minorHAnsi"/>
          <w:sz w:val="21"/>
          <w:szCs w:val="21"/>
        </w:rPr>
        <w:t xml:space="preserve">también </w:t>
      </w:r>
      <w:r w:rsidRPr="00DC3112">
        <w:rPr>
          <w:rFonts w:ascii="Century Gothic" w:hAnsi="Century Gothic" w:cstheme="minorHAnsi"/>
          <w:sz w:val="21"/>
          <w:szCs w:val="21"/>
        </w:rPr>
        <w:t>forma parte del Sistema Integrado de Producción Verde (SIPV) de la CE</w:t>
      </w:r>
      <w:r w:rsidR="00E779F4" w:rsidRPr="00DC3112">
        <w:rPr>
          <w:rFonts w:ascii="Century Gothic" w:hAnsi="Century Gothic" w:cstheme="minorHAnsi"/>
          <w:sz w:val="21"/>
          <w:szCs w:val="21"/>
        </w:rPr>
        <w:t xml:space="preserve">PAL, el cual lo entrega </w:t>
      </w:r>
      <w:r w:rsidRPr="00DC3112">
        <w:rPr>
          <w:rFonts w:ascii="Century Gothic" w:hAnsi="Century Gothic" w:cstheme="minorHAnsi"/>
          <w:sz w:val="21"/>
          <w:szCs w:val="21"/>
        </w:rPr>
        <w:t xml:space="preserve">el Módulo Económico Ambiental de la ENESEM </w:t>
      </w:r>
      <w:r w:rsidR="003540AD" w:rsidRPr="00DC3112">
        <w:rPr>
          <w:rFonts w:ascii="Century Gothic" w:hAnsi="Century Gothic" w:cstheme="minorHAnsi"/>
          <w:sz w:val="21"/>
          <w:szCs w:val="21"/>
        </w:rPr>
        <w:t>202</w:t>
      </w:r>
      <w:r w:rsidR="00137DD9" w:rsidRPr="00DC3112">
        <w:rPr>
          <w:rFonts w:ascii="Century Gothic" w:hAnsi="Century Gothic" w:cstheme="minorHAnsi"/>
          <w:sz w:val="21"/>
          <w:szCs w:val="21"/>
        </w:rPr>
        <w:t>1</w:t>
      </w:r>
      <w:r w:rsidRPr="00DC3112">
        <w:rPr>
          <w:rFonts w:ascii="Century Gothic" w:hAnsi="Century Gothic" w:cstheme="minorHAnsi"/>
          <w:sz w:val="21"/>
          <w:szCs w:val="21"/>
        </w:rPr>
        <w:t>.</w:t>
      </w:r>
    </w:p>
    <w:p w14:paraId="6801CB3E" w14:textId="77777777" w:rsidR="00646F55" w:rsidRPr="005D5DE4" w:rsidRDefault="00646F55" w:rsidP="00646F55">
      <w:pPr>
        <w:jc w:val="both"/>
        <w:rPr>
          <w:rFonts w:ascii="Century Gothic" w:hAnsi="Century Gothic" w:cstheme="minorHAnsi"/>
          <w:sz w:val="21"/>
          <w:szCs w:val="21"/>
        </w:rPr>
      </w:pPr>
    </w:p>
    <w:p w14:paraId="27DEEEE7" w14:textId="41DAF43A" w:rsidR="00646F55" w:rsidRPr="005D5DE4" w:rsidRDefault="00646F55" w:rsidP="00646F55">
      <w:pPr>
        <w:jc w:val="both"/>
        <w:rPr>
          <w:rFonts w:ascii="Century Gothic" w:hAnsi="Century Gothic" w:cs="Times New Roman"/>
          <w:sz w:val="21"/>
          <w:szCs w:val="21"/>
          <w:lang w:val="es-ES_tradnl" w:eastAsia="es-ES_tradnl"/>
        </w:rPr>
      </w:pPr>
      <w:r w:rsidRPr="005D5DE4">
        <w:rPr>
          <w:rFonts w:ascii="Century Gothic" w:hAnsi="Century Gothic" w:cs="Times New Roman"/>
          <w:sz w:val="21"/>
          <w:szCs w:val="21"/>
          <w:lang w:val="es-ES_tradnl" w:eastAsia="es-ES_tradnl"/>
        </w:rPr>
        <w:t xml:space="preserve">Los datos relevantes y deficitarios con el ambiente corresponden a los sectores </w:t>
      </w:r>
      <w:r w:rsidR="00671E87">
        <w:rPr>
          <w:rFonts w:ascii="Century Gothic" w:hAnsi="Century Gothic" w:cs="Times New Roman"/>
          <w:sz w:val="21"/>
          <w:szCs w:val="21"/>
          <w:lang w:val="es-ES_tradnl" w:eastAsia="es-ES_tradnl"/>
        </w:rPr>
        <w:t xml:space="preserve">de </w:t>
      </w:r>
      <w:r w:rsidR="00671E87" w:rsidRPr="00671E87">
        <w:rPr>
          <w:rFonts w:ascii="Century Gothic" w:hAnsi="Century Gothic" w:cs="Times New Roman"/>
          <w:i/>
          <w:iCs/>
          <w:sz w:val="21"/>
          <w:szCs w:val="21"/>
          <w:lang w:val="es-ES_tradnl" w:eastAsia="es-ES_tradnl"/>
        </w:rPr>
        <w:t>Actividades profesionales, científicas y técnicas</w:t>
      </w:r>
      <w:r w:rsidR="00671E87">
        <w:rPr>
          <w:rFonts w:ascii="Century Gothic" w:hAnsi="Century Gothic" w:cs="Times New Roman"/>
          <w:sz w:val="21"/>
          <w:szCs w:val="21"/>
          <w:lang w:val="es-ES_tradnl" w:eastAsia="es-ES_tradnl"/>
        </w:rPr>
        <w:t xml:space="preserve"> </w:t>
      </w:r>
      <w:r w:rsidR="00671E87" w:rsidRPr="005D5DE4">
        <w:rPr>
          <w:rFonts w:ascii="Century Gothic" w:hAnsi="Century Gothic" w:cs="Times New Roman"/>
          <w:sz w:val="21"/>
          <w:szCs w:val="21"/>
          <w:lang w:val="es-ES_tradnl" w:eastAsia="es-ES_tradnl"/>
        </w:rPr>
        <w:t>(</w:t>
      </w:r>
      <w:r w:rsidR="00671E87">
        <w:rPr>
          <w:rFonts w:ascii="Century Gothic" w:hAnsi="Century Gothic" w:cs="Times New Roman"/>
          <w:sz w:val="21"/>
          <w:szCs w:val="21"/>
          <w:lang w:val="es-ES_tradnl" w:eastAsia="es-ES_tradnl"/>
        </w:rPr>
        <w:t>4,99</w:t>
      </w:r>
      <w:r w:rsidR="00671E87" w:rsidRPr="005D5DE4">
        <w:rPr>
          <w:rFonts w:ascii="Century Gothic" w:hAnsi="Century Gothic" w:cs="Times New Roman"/>
          <w:sz w:val="21"/>
          <w:szCs w:val="21"/>
          <w:lang w:val="es-ES_tradnl" w:eastAsia="es-ES_tradnl"/>
        </w:rPr>
        <w:t xml:space="preserve"> m</w:t>
      </w:r>
      <w:r w:rsidR="00671E87" w:rsidRPr="005D5DE4">
        <w:rPr>
          <w:rFonts w:ascii="Century Gothic" w:hAnsi="Century Gothic" w:cs="Times New Roman"/>
          <w:sz w:val="21"/>
          <w:szCs w:val="21"/>
          <w:vertAlign w:val="superscript"/>
          <w:lang w:val="es-ES_tradnl" w:eastAsia="es-ES_tradnl"/>
        </w:rPr>
        <w:t>3</w:t>
      </w:r>
      <w:r w:rsidR="00671E87" w:rsidRPr="005D5DE4">
        <w:rPr>
          <w:rFonts w:ascii="Century Gothic" w:hAnsi="Century Gothic" w:cs="Times New Roman"/>
          <w:sz w:val="21"/>
          <w:szCs w:val="21"/>
          <w:lang w:val="es-ES_tradnl" w:eastAsia="es-ES_tradnl"/>
        </w:rPr>
        <w:t xml:space="preserve"> H</w:t>
      </w:r>
      <w:r w:rsidR="00671E87" w:rsidRPr="005D5DE4">
        <w:rPr>
          <w:rFonts w:ascii="Century Gothic" w:hAnsi="Century Gothic" w:cs="Times New Roman"/>
          <w:sz w:val="21"/>
          <w:szCs w:val="21"/>
          <w:vertAlign w:val="subscript"/>
          <w:lang w:val="es-ES_tradnl" w:eastAsia="es-ES_tradnl"/>
        </w:rPr>
        <w:t>2</w:t>
      </w:r>
      <w:r w:rsidR="00671E87" w:rsidRPr="005D5DE4">
        <w:rPr>
          <w:rFonts w:ascii="Century Gothic" w:hAnsi="Century Gothic" w:cs="Times New Roman"/>
          <w:sz w:val="21"/>
          <w:szCs w:val="21"/>
          <w:lang w:val="es-ES_tradnl" w:eastAsia="es-ES_tradnl"/>
        </w:rPr>
        <w:t xml:space="preserve">O / USD de VAB, </w:t>
      </w:r>
      <w:r w:rsidR="00671E87">
        <w:rPr>
          <w:rFonts w:ascii="Century Gothic" w:hAnsi="Century Gothic" w:cs="Times New Roman"/>
          <w:sz w:val="21"/>
          <w:szCs w:val="21"/>
          <w:lang w:val="es-ES_tradnl" w:eastAsia="es-ES_tradnl"/>
        </w:rPr>
        <w:t>+275,91</w:t>
      </w:r>
      <w:r w:rsidR="00671E87" w:rsidRPr="005D5DE4">
        <w:rPr>
          <w:rFonts w:ascii="Century Gothic" w:hAnsi="Century Gothic" w:cs="Times New Roman"/>
          <w:sz w:val="21"/>
          <w:szCs w:val="21"/>
          <w:lang w:val="es-ES_tradnl" w:eastAsia="es-ES_tradnl"/>
        </w:rPr>
        <w:t xml:space="preserve">% respecto al año </w:t>
      </w:r>
      <w:r w:rsidR="00671E87">
        <w:rPr>
          <w:rFonts w:ascii="Century Gothic" w:hAnsi="Century Gothic" w:cs="Times New Roman"/>
          <w:sz w:val="21"/>
          <w:szCs w:val="21"/>
          <w:lang w:val="es-ES_tradnl" w:eastAsia="es-ES_tradnl"/>
        </w:rPr>
        <w:t>2020</w:t>
      </w:r>
      <w:r w:rsidR="00671E87" w:rsidRPr="005D5DE4">
        <w:rPr>
          <w:rFonts w:ascii="Century Gothic" w:hAnsi="Century Gothic" w:cs="Times New Roman"/>
          <w:sz w:val="21"/>
          <w:szCs w:val="21"/>
          <w:lang w:val="es-ES_tradnl" w:eastAsia="es-ES_tradnl"/>
        </w:rPr>
        <w:t>)</w:t>
      </w:r>
      <w:r w:rsidR="00671E87">
        <w:rPr>
          <w:rFonts w:ascii="Century Gothic" w:hAnsi="Century Gothic" w:cs="Times New Roman"/>
          <w:sz w:val="21"/>
          <w:szCs w:val="21"/>
          <w:lang w:val="es-ES_tradnl" w:eastAsia="es-ES_tradnl"/>
        </w:rPr>
        <w:t xml:space="preserve">; </w:t>
      </w:r>
      <w:r w:rsidR="00671E87" w:rsidRPr="00671E87">
        <w:rPr>
          <w:rFonts w:ascii="Century Gothic" w:hAnsi="Century Gothic" w:cs="Times New Roman"/>
          <w:i/>
          <w:iCs/>
          <w:sz w:val="21"/>
          <w:szCs w:val="21"/>
          <w:lang w:val="es-ES_tradnl" w:eastAsia="es-ES_tradnl"/>
        </w:rPr>
        <w:t>Artes, entretenimiento y recreación</w:t>
      </w:r>
      <w:r w:rsidR="00671E87">
        <w:rPr>
          <w:rFonts w:ascii="Century Gothic" w:hAnsi="Century Gothic" w:cs="Times New Roman"/>
          <w:sz w:val="21"/>
          <w:szCs w:val="21"/>
          <w:lang w:val="es-ES_tradnl" w:eastAsia="es-ES_tradnl"/>
        </w:rPr>
        <w:t xml:space="preserve"> </w:t>
      </w:r>
      <w:r w:rsidR="00671E87" w:rsidRPr="005D5DE4">
        <w:rPr>
          <w:rFonts w:ascii="Century Gothic" w:hAnsi="Century Gothic" w:cs="Times New Roman"/>
          <w:sz w:val="21"/>
          <w:szCs w:val="21"/>
          <w:lang w:val="es-ES_tradnl" w:eastAsia="es-ES_tradnl"/>
        </w:rPr>
        <w:t>(</w:t>
      </w:r>
      <w:r w:rsidR="00671E87">
        <w:rPr>
          <w:rFonts w:ascii="Century Gothic" w:hAnsi="Century Gothic" w:cs="Times New Roman"/>
          <w:sz w:val="21"/>
          <w:szCs w:val="21"/>
          <w:lang w:val="es-ES_tradnl" w:eastAsia="es-ES_tradnl"/>
        </w:rPr>
        <w:t>4,85</w:t>
      </w:r>
      <w:r w:rsidR="00671E87" w:rsidRPr="005D5DE4">
        <w:rPr>
          <w:rFonts w:ascii="Century Gothic" w:hAnsi="Century Gothic" w:cs="Times New Roman"/>
          <w:sz w:val="21"/>
          <w:szCs w:val="21"/>
          <w:lang w:val="es-ES_tradnl" w:eastAsia="es-ES_tradnl"/>
        </w:rPr>
        <w:t xml:space="preserve"> m</w:t>
      </w:r>
      <w:r w:rsidR="00671E87" w:rsidRPr="005D5DE4">
        <w:rPr>
          <w:rFonts w:ascii="Century Gothic" w:hAnsi="Century Gothic" w:cs="Times New Roman"/>
          <w:sz w:val="21"/>
          <w:szCs w:val="21"/>
          <w:vertAlign w:val="superscript"/>
          <w:lang w:val="es-ES_tradnl" w:eastAsia="es-ES_tradnl"/>
        </w:rPr>
        <w:t>3</w:t>
      </w:r>
      <w:r w:rsidR="00671E87" w:rsidRPr="005D5DE4">
        <w:rPr>
          <w:rFonts w:ascii="Century Gothic" w:hAnsi="Century Gothic" w:cs="Times New Roman"/>
          <w:sz w:val="21"/>
          <w:szCs w:val="21"/>
          <w:lang w:val="es-ES_tradnl" w:eastAsia="es-ES_tradnl"/>
        </w:rPr>
        <w:t xml:space="preserve"> H</w:t>
      </w:r>
      <w:r w:rsidR="00671E87" w:rsidRPr="005D5DE4">
        <w:rPr>
          <w:rFonts w:ascii="Century Gothic" w:hAnsi="Century Gothic" w:cs="Times New Roman"/>
          <w:sz w:val="21"/>
          <w:szCs w:val="21"/>
          <w:vertAlign w:val="subscript"/>
          <w:lang w:val="es-ES_tradnl" w:eastAsia="es-ES_tradnl"/>
        </w:rPr>
        <w:t>2</w:t>
      </w:r>
      <w:r w:rsidR="00671E87" w:rsidRPr="005D5DE4">
        <w:rPr>
          <w:rFonts w:ascii="Century Gothic" w:hAnsi="Century Gothic" w:cs="Times New Roman"/>
          <w:sz w:val="21"/>
          <w:szCs w:val="21"/>
          <w:lang w:val="es-ES_tradnl" w:eastAsia="es-ES_tradnl"/>
        </w:rPr>
        <w:t xml:space="preserve">O / USD de VAB, </w:t>
      </w:r>
      <w:r w:rsidR="00671E87">
        <w:rPr>
          <w:rFonts w:ascii="Century Gothic" w:hAnsi="Century Gothic" w:cs="Times New Roman"/>
          <w:sz w:val="21"/>
          <w:szCs w:val="21"/>
          <w:lang w:val="es-ES_tradnl" w:eastAsia="es-ES_tradnl"/>
        </w:rPr>
        <w:t>+16,02</w:t>
      </w:r>
      <w:r w:rsidR="00671E87" w:rsidRPr="005D5DE4">
        <w:rPr>
          <w:rFonts w:ascii="Century Gothic" w:hAnsi="Century Gothic" w:cs="Times New Roman"/>
          <w:sz w:val="21"/>
          <w:szCs w:val="21"/>
          <w:lang w:val="es-ES_tradnl" w:eastAsia="es-ES_tradnl"/>
        </w:rPr>
        <w:t xml:space="preserve">% respecto al año </w:t>
      </w:r>
      <w:r w:rsidR="00671E87">
        <w:rPr>
          <w:rFonts w:ascii="Century Gothic" w:hAnsi="Century Gothic" w:cs="Times New Roman"/>
          <w:sz w:val="21"/>
          <w:szCs w:val="21"/>
          <w:lang w:val="es-ES_tradnl" w:eastAsia="es-ES_tradnl"/>
        </w:rPr>
        <w:t>2020</w:t>
      </w:r>
      <w:r w:rsidR="00671E87" w:rsidRPr="005D5DE4">
        <w:rPr>
          <w:rFonts w:ascii="Century Gothic" w:hAnsi="Century Gothic" w:cs="Times New Roman"/>
          <w:sz w:val="21"/>
          <w:szCs w:val="21"/>
          <w:lang w:val="es-ES_tradnl" w:eastAsia="es-ES_tradnl"/>
        </w:rPr>
        <w:t>)</w:t>
      </w:r>
      <w:r w:rsidR="00671E87">
        <w:rPr>
          <w:rFonts w:ascii="Century Gothic" w:hAnsi="Century Gothic" w:cs="Times New Roman"/>
          <w:sz w:val="21"/>
          <w:szCs w:val="21"/>
          <w:lang w:val="es-ES_tradnl" w:eastAsia="es-ES_tradnl"/>
        </w:rPr>
        <w:t xml:space="preserve">; y </w:t>
      </w:r>
      <w:r w:rsidR="00671E87" w:rsidRPr="004073E8">
        <w:rPr>
          <w:rFonts w:ascii="Century Gothic" w:hAnsi="Century Gothic" w:cs="Times New Roman"/>
          <w:i/>
          <w:iCs/>
          <w:sz w:val="21"/>
          <w:szCs w:val="21"/>
          <w:lang w:val="es-ES_tradnl" w:eastAsia="es-ES_tradnl"/>
        </w:rPr>
        <w:t>Comercio al por mayor y menor</w:t>
      </w:r>
      <w:r w:rsidR="00671E87">
        <w:rPr>
          <w:rFonts w:ascii="Century Gothic" w:hAnsi="Century Gothic" w:cs="Times New Roman"/>
          <w:sz w:val="21"/>
          <w:szCs w:val="21"/>
          <w:lang w:val="es-ES_tradnl" w:eastAsia="es-ES_tradnl"/>
        </w:rPr>
        <w:t xml:space="preserve"> </w:t>
      </w:r>
      <w:r w:rsidR="00671E87" w:rsidRPr="005D5DE4">
        <w:rPr>
          <w:rFonts w:ascii="Century Gothic" w:hAnsi="Century Gothic" w:cs="Times New Roman"/>
          <w:sz w:val="21"/>
          <w:szCs w:val="21"/>
          <w:lang w:val="es-ES_tradnl" w:eastAsia="es-ES_tradnl"/>
        </w:rPr>
        <w:t>(</w:t>
      </w:r>
      <w:r w:rsidR="00671E87">
        <w:rPr>
          <w:rFonts w:ascii="Century Gothic" w:hAnsi="Century Gothic" w:cs="Times New Roman"/>
          <w:sz w:val="21"/>
          <w:szCs w:val="21"/>
          <w:lang w:val="es-ES_tradnl" w:eastAsia="es-ES_tradnl"/>
        </w:rPr>
        <w:t>2,52</w:t>
      </w:r>
      <w:r w:rsidR="00671E87" w:rsidRPr="005D5DE4">
        <w:rPr>
          <w:rFonts w:ascii="Century Gothic" w:hAnsi="Century Gothic" w:cs="Times New Roman"/>
          <w:sz w:val="21"/>
          <w:szCs w:val="21"/>
          <w:lang w:val="es-ES_tradnl" w:eastAsia="es-ES_tradnl"/>
        </w:rPr>
        <w:t xml:space="preserve"> m</w:t>
      </w:r>
      <w:r w:rsidR="00671E87" w:rsidRPr="005D5DE4">
        <w:rPr>
          <w:rFonts w:ascii="Century Gothic" w:hAnsi="Century Gothic" w:cs="Times New Roman"/>
          <w:sz w:val="21"/>
          <w:szCs w:val="21"/>
          <w:vertAlign w:val="superscript"/>
          <w:lang w:val="es-ES_tradnl" w:eastAsia="es-ES_tradnl"/>
        </w:rPr>
        <w:t>3</w:t>
      </w:r>
      <w:r w:rsidR="00671E87" w:rsidRPr="005D5DE4">
        <w:rPr>
          <w:rFonts w:ascii="Century Gothic" w:hAnsi="Century Gothic" w:cs="Times New Roman"/>
          <w:sz w:val="21"/>
          <w:szCs w:val="21"/>
          <w:lang w:val="es-ES_tradnl" w:eastAsia="es-ES_tradnl"/>
        </w:rPr>
        <w:t xml:space="preserve"> H</w:t>
      </w:r>
      <w:r w:rsidR="00671E87" w:rsidRPr="005D5DE4">
        <w:rPr>
          <w:rFonts w:ascii="Century Gothic" w:hAnsi="Century Gothic" w:cs="Times New Roman"/>
          <w:sz w:val="21"/>
          <w:szCs w:val="21"/>
          <w:vertAlign w:val="subscript"/>
          <w:lang w:val="es-ES_tradnl" w:eastAsia="es-ES_tradnl"/>
        </w:rPr>
        <w:t>2</w:t>
      </w:r>
      <w:r w:rsidR="00671E87" w:rsidRPr="005D5DE4">
        <w:rPr>
          <w:rFonts w:ascii="Century Gothic" w:hAnsi="Century Gothic" w:cs="Times New Roman"/>
          <w:sz w:val="21"/>
          <w:szCs w:val="21"/>
          <w:lang w:val="es-ES_tradnl" w:eastAsia="es-ES_tradnl"/>
        </w:rPr>
        <w:t xml:space="preserve">O / USD de VAB, </w:t>
      </w:r>
      <w:r w:rsidR="00671E87">
        <w:rPr>
          <w:rFonts w:ascii="Century Gothic" w:hAnsi="Century Gothic" w:cs="Times New Roman"/>
          <w:sz w:val="21"/>
          <w:szCs w:val="21"/>
          <w:lang w:val="es-ES_tradnl" w:eastAsia="es-ES_tradnl"/>
        </w:rPr>
        <w:t>+15,21</w:t>
      </w:r>
      <w:r w:rsidR="00671E87" w:rsidRPr="005D5DE4">
        <w:rPr>
          <w:rFonts w:ascii="Century Gothic" w:hAnsi="Century Gothic" w:cs="Times New Roman"/>
          <w:sz w:val="21"/>
          <w:szCs w:val="21"/>
          <w:lang w:val="es-ES_tradnl" w:eastAsia="es-ES_tradnl"/>
        </w:rPr>
        <w:t xml:space="preserve">% respecto al año </w:t>
      </w:r>
      <w:r w:rsidR="00671E87">
        <w:rPr>
          <w:rFonts w:ascii="Century Gothic" w:hAnsi="Century Gothic" w:cs="Times New Roman"/>
          <w:sz w:val="21"/>
          <w:szCs w:val="21"/>
          <w:lang w:val="es-ES_tradnl" w:eastAsia="es-ES_tradnl"/>
        </w:rPr>
        <w:t>2020</w:t>
      </w:r>
      <w:r w:rsidR="00671E87" w:rsidRPr="005D5DE4">
        <w:rPr>
          <w:rFonts w:ascii="Century Gothic" w:hAnsi="Century Gothic" w:cs="Times New Roman"/>
          <w:sz w:val="21"/>
          <w:szCs w:val="21"/>
          <w:lang w:val="es-ES_tradnl" w:eastAsia="es-ES_tradnl"/>
        </w:rPr>
        <w:t>)</w:t>
      </w:r>
      <w:r w:rsidR="00671E87">
        <w:rPr>
          <w:rFonts w:ascii="Century Gothic" w:hAnsi="Century Gothic" w:cs="Times New Roman"/>
          <w:sz w:val="21"/>
          <w:szCs w:val="21"/>
          <w:lang w:val="es-ES_tradnl" w:eastAsia="es-ES_tradnl"/>
        </w:rPr>
        <w:t xml:space="preserve">; </w:t>
      </w:r>
      <w:r w:rsidRPr="005D5DE4">
        <w:rPr>
          <w:rFonts w:ascii="Century Gothic" w:hAnsi="Century Gothic" w:cs="Times New Roman"/>
          <w:sz w:val="21"/>
          <w:szCs w:val="21"/>
          <w:lang w:val="es-ES_tradnl" w:eastAsia="es-ES_tradnl"/>
        </w:rPr>
        <w:t xml:space="preserve">con valores </w:t>
      </w:r>
      <w:r w:rsidR="00671E87">
        <w:rPr>
          <w:rFonts w:ascii="Century Gothic" w:hAnsi="Century Gothic" w:cs="Times New Roman"/>
          <w:sz w:val="21"/>
          <w:szCs w:val="21"/>
          <w:lang w:val="es-ES_tradnl" w:eastAsia="es-ES_tradnl"/>
        </w:rPr>
        <w:t>hasta dos</w:t>
      </w:r>
      <w:r w:rsidRPr="005D5DE4">
        <w:rPr>
          <w:rFonts w:ascii="Century Gothic" w:hAnsi="Century Gothic" w:cs="Times New Roman"/>
          <w:sz w:val="21"/>
          <w:szCs w:val="21"/>
          <w:lang w:val="es-ES_tradnl" w:eastAsia="es-ES_tradnl"/>
        </w:rPr>
        <w:t xml:space="preserve"> veces</w:t>
      </w:r>
      <w:r w:rsidRPr="00C872CE">
        <w:rPr>
          <w:rFonts w:ascii="Century Gothic" w:hAnsi="Century Gothic" w:cs="Times New Roman"/>
          <w:sz w:val="18"/>
          <w:szCs w:val="18"/>
          <w:lang w:val="es-ES_tradnl" w:eastAsia="es-ES_tradnl"/>
        </w:rPr>
        <w:t xml:space="preserve"> </w:t>
      </w:r>
      <w:r w:rsidRPr="005D5DE4">
        <w:rPr>
          <w:rFonts w:ascii="Century Gothic" w:hAnsi="Century Gothic" w:cs="Times New Roman"/>
          <w:sz w:val="21"/>
          <w:szCs w:val="21"/>
          <w:lang w:val="es-ES_tradnl" w:eastAsia="es-ES_tradnl"/>
        </w:rPr>
        <w:t>superior</w:t>
      </w:r>
      <w:r w:rsidRPr="00C872CE">
        <w:rPr>
          <w:rFonts w:ascii="Century Gothic" w:hAnsi="Century Gothic" w:cs="Times New Roman"/>
          <w:sz w:val="18"/>
          <w:szCs w:val="18"/>
          <w:lang w:val="es-ES_tradnl" w:eastAsia="es-ES_tradnl"/>
        </w:rPr>
        <w:t xml:space="preserve"> </w:t>
      </w:r>
      <w:r w:rsidRPr="005D5DE4">
        <w:rPr>
          <w:rFonts w:ascii="Century Gothic" w:hAnsi="Century Gothic" w:cs="Times New Roman"/>
          <w:sz w:val="21"/>
          <w:szCs w:val="21"/>
          <w:lang w:val="es-ES_tradnl" w:eastAsia="es-ES_tradnl"/>
        </w:rPr>
        <w:t>al</w:t>
      </w:r>
      <w:r w:rsidRPr="00C872CE">
        <w:rPr>
          <w:rFonts w:ascii="Century Gothic" w:hAnsi="Century Gothic" w:cs="Times New Roman"/>
          <w:sz w:val="18"/>
          <w:szCs w:val="18"/>
          <w:lang w:val="es-ES_tradnl" w:eastAsia="es-ES_tradnl"/>
        </w:rPr>
        <w:t xml:space="preserve"> </w:t>
      </w:r>
      <w:r w:rsidRPr="005D5DE4">
        <w:rPr>
          <w:rFonts w:ascii="Century Gothic" w:hAnsi="Century Gothic" w:cs="Times New Roman"/>
          <w:sz w:val="21"/>
          <w:szCs w:val="21"/>
          <w:lang w:val="es-ES_tradnl" w:eastAsia="es-ES_tradnl"/>
        </w:rPr>
        <w:t>valor</w:t>
      </w:r>
      <w:r w:rsidRPr="00C872CE">
        <w:rPr>
          <w:rFonts w:ascii="Century Gothic" w:hAnsi="Century Gothic" w:cs="Times New Roman"/>
          <w:sz w:val="18"/>
          <w:szCs w:val="18"/>
          <w:lang w:val="es-ES_tradnl" w:eastAsia="es-ES_tradnl"/>
        </w:rPr>
        <w:t xml:space="preserve"> </w:t>
      </w:r>
      <w:r w:rsidRPr="005D5DE4">
        <w:rPr>
          <w:rFonts w:ascii="Century Gothic" w:hAnsi="Century Gothic" w:cs="Times New Roman"/>
          <w:sz w:val="21"/>
          <w:szCs w:val="21"/>
          <w:lang w:val="es-ES_tradnl" w:eastAsia="es-ES_tradnl"/>
        </w:rPr>
        <w:t>medio</w:t>
      </w:r>
      <w:r w:rsidRPr="00C872CE">
        <w:rPr>
          <w:rFonts w:ascii="Century Gothic" w:hAnsi="Century Gothic" w:cs="Times New Roman"/>
          <w:sz w:val="18"/>
          <w:szCs w:val="18"/>
          <w:lang w:val="es-ES_tradnl" w:eastAsia="es-ES_tradnl"/>
        </w:rPr>
        <w:t xml:space="preserve"> </w:t>
      </w:r>
      <w:r w:rsidRPr="005D5DE4">
        <w:rPr>
          <w:rFonts w:ascii="Century Gothic" w:hAnsi="Century Gothic" w:cs="Times New Roman"/>
          <w:sz w:val="21"/>
          <w:szCs w:val="21"/>
          <w:lang w:val="es-ES_tradnl" w:eastAsia="es-ES_tradnl"/>
        </w:rPr>
        <w:t>naciona</w:t>
      </w:r>
      <w:r w:rsidR="00C872CE">
        <w:rPr>
          <w:rFonts w:ascii="Century Gothic" w:hAnsi="Century Gothic" w:cs="Times New Roman"/>
          <w:sz w:val="21"/>
          <w:szCs w:val="21"/>
          <w:lang w:val="es-ES_tradnl" w:eastAsia="es-ES_tradnl"/>
        </w:rPr>
        <w:t>l</w:t>
      </w:r>
      <w:r w:rsidRPr="005D5DE4">
        <w:rPr>
          <w:rFonts w:ascii="Century Gothic" w:hAnsi="Century Gothic" w:cs="Times New Roman"/>
          <w:sz w:val="21"/>
          <w:szCs w:val="21"/>
          <w:lang w:val="es-ES_tradnl" w:eastAsia="es-ES_tradnl"/>
        </w:rPr>
        <w:t>. Esto puede ser un indicio de d</w:t>
      </w:r>
      <w:r w:rsidR="00C872CE">
        <w:rPr>
          <w:rFonts w:ascii="Century Gothic" w:hAnsi="Century Gothic" w:cs="Times New Roman"/>
          <w:sz w:val="21"/>
          <w:szCs w:val="21"/>
          <w:lang w:val="es-ES_tradnl" w:eastAsia="es-ES_tradnl"/>
        </w:rPr>
        <w:t>ispendio</w:t>
      </w:r>
      <w:r w:rsidRPr="005D5DE4">
        <w:rPr>
          <w:rFonts w:ascii="Century Gothic" w:hAnsi="Century Gothic" w:cs="Times New Roman"/>
          <w:sz w:val="21"/>
          <w:szCs w:val="21"/>
          <w:lang w:val="es-ES_tradnl" w:eastAsia="es-ES_tradnl"/>
        </w:rPr>
        <w:t xml:space="preserve"> del recurso agua en las empresas de estos sectores de servicios, lo cual se asocia con un tipo de gestión del recurso agua </w:t>
      </w:r>
      <w:r w:rsidR="00DF1284">
        <w:rPr>
          <w:rFonts w:ascii="Century Gothic" w:hAnsi="Century Gothic" w:cs="Times New Roman"/>
          <w:sz w:val="21"/>
          <w:szCs w:val="21"/>
          <w:lang w:val="es-ES_tradnl" w:eastAsia="es-ES_tradnl"/>
        </w:rPr>
        <w:t>deficiente</w:t>
      </w:r>
      <w:r w:rsidRPr="005D5DE4">
        <w:rPr>
          <w:rFonts w:ascii="Century Gothic" w:hAnsi="Century Gothic" w:cs="Times New Roman"/>
          <w:sz w:val="21"/>
          <w:szCs w:val="21"/>
          <w:lang w:val="es-ES_tradnl" w:eastAsia="es-ES_tradnl"/>
        </w:rPr>
        <w:t xml:space="preserve"> o inexistente.</w:t>
      </w:r>
      <w:r w:rsidR="00112FBE">
        <w:rPr>
          <w:rFonts w:ascii="Century Gothic" w:hAnsi="Century Gothic" w:cs="Times New Roman"/>
          <w:sz w:val="21"/>
          <w:szCs w:val="21"/>
          <w:lang w:val="es-ES_tradnl" w:eastAsia="es-ES_tradnl"/>
        </w:rPr>
        <w:t xml:space="preserve"> </w:t>
      </w:r>
      <w:r w:rsidR="00671E87">
        <w:rPr>
          <w:rFonts w:ascii="Century Gothic" w:hAnsi="Century Gothic" w:cs="Times New Roman"/>
          <w:sz w:val="21"/>
          <w:szCs w:val="21"/>
          <w:lang w:val="es-ES_tradnl" w:eastAsia="es-ES_tradnl"/>
        </w:rPr>
        <w:t>E</w:t>
      </w:r>
      <w:r w:rsidR="00112FBE">
        <w:rPr>
          <w:rFonts w:ascii="Century Gothic" w:hAnsi="Century Gothic" w:cs="Times New Roman"/>
          <w:sz w:val="21"/>
          <w:szCs w:val="21"/>
          <w:lang w:val="es-ES_tradnl" w:eastAsia="es-ES_tradnl"/>
        </w:rPr>
        <w:t xml:space="preserve">n </w:t>
      </w:r>
      <w:r w:rsidR="00DC3112">
        <w:rPr>
          <w:rFonts w:ascii="Century Gothic" w:hAnsi="Century Gothic" w:cs="Times New Roman"/>
          <w:sz w:val="21"/>
          <w:szCs w:val="21"/>
          <w:lang w:val="es-ES_tradnl" w:eastAsia="es-ES_tradnl"/>
        </w:rPr>
        <w:t>casi todas las</w:t>
      </w:r>
      <w:r w:rsidR="00112FBE">
        <w:rPr>
          <w:rFonts w:ascii="Century Gothic" w:hAnsi="Century Gothic" w:cs="Times New Roman"/>
          <w:sz w:val="21"/>
          <w:szCs w:val="21"/>
          <w:lang w:val="es-ES_tradnl" w:eastAsia="es-ES_tradnl"/>
        </w:rPr>
        <w:t xml:space="preserve"> </w:t>
      </w:r>
      <w:r w:rsidR="00671E87">
        <w:rPr>
          <w:rFonts w:ascii="Century Gothic" w:hAnsi="Century Gothic" w:cs="Times New Roman"/>
          <w:sz w:val="21"/>
          <w:szCs w:val="21"/>
          <w:lang w:val="es-ES_tradnl" w:eastAsia="es-ES_tradnl"/>
        </w:rPr>
        <w:t xml:space="preserve">demás </w:t>
      </w:r>
      <w:r w:rsidR="00112FBE">
        <w:rPr>
          <w:rFonts w:ascii="Century Gothic" w:hAnsi="Century Gothic" w:cs="Times New Roman"/>
          <w:sz w:val="21"/>
          <w:szCs w:val="21"/>
          <w:lang w:val="es-ES_tradnl" w:eastAsia="es-ES_tradnl"/>
        </w:rPr>
        <w:t xml:space="preserve">actividades económicas se </w:t>
      </w:r>
      <w:r w:rsidR="00DC3112">
        <w:rPr>
          <w:rFonts w:ascii="Century Gothic" w:hAnsi="Century Gothic" w:cs="Times New Roman"/>
          <w:sz w:val="21"/>
          <w:szCs w:val="21"/>
          <w:lang w:val="es-ES_tradnl" w:eastAsia="es-ES_tradnl"/>
        </w:rPr>
        <w:t>mantuvo o disminuyó</w:t>
      </w:r>
      <w:r w:rsidR="00112FBE">
        <w:rPr>
          <w:rFonts w:ascii="Century Gothic" w:hAnsi="Century Gothic" w:cs="Times New Roman"/>
          <w:sz w:val="21"/>
          <w:szCs w:val="21"/>
          <w:lang w:val="es-ES_tradnl" w:eastAsia="es-ES_tradnl"/>
        </w:rPr>
        <w:t xml:space="preserve"> este indicador, debido a la contracción del consumo de agua, tanto para procesos productivos como para consumo humano y otros usos.</w:t>
      </w:r>
    </w:p>
    <w:p w14:paraId="2E7FE48B" w14:textId="77777777" w:rsidR="00646F55" w:rsidRPr="005D5DE4" w:rsidRDefault="00646F55" w:rsidP="00646F55">
      <w:pPr>
        <w:jc w:val="both"/>
        <w:rPr>
          <w:rFonts w:ascii="Century Gothic" w:hAnsi="Century Gothic" w:cs="Times New Roman"/>
          <w:sz w:val="21"/>
          <w:szCs w:val="21"/>
          <w:lang w:val="es-ES_tradnl" w:eastAsia="es-ES_tradnl"/>
        </w:rPr>
      </w:pPr>
    </w:p>
    <w:p w14:paraId="7B6F6D0D" w14:textId="50F81472" w:rsidR="00646F55" w:rsidRDefault="00646F55" w:rsidP="00646F55">
      <w:pPr>
        <w:jc w:val="both"/>
        <w:rPr>
          <w:rFonts w:ascii="Century Gothic" w:hAnsi="Century Gothic" w:cs="Times New Roman"/>
          <w:sz w:val="21"/>
          <w:szCs w:val="21"/>
          <w:lang w:val="es-ES_tradnl" w:eastAsia="es-ES_tradnl"/>
        </w:rPr>
      </w:pPr>
      <w:r w:rsidRPr="00E35C77">
        <w:rPr>
          <w:rFonts w:ascii="Century Gothic" w:hAnsi="Century Gothic" w:cs="Times New Roman"/>
          <w:sz w:val="21"/>
          <w:szCs w:val="21"/>
          <w:lang w:val="es-ES_tradnl" w:eastAsia="es-ES_tradnl"/>
        </w:rPr>
        <w:t xml:space="preserve">En la Figura </w:t>
      </w:r>
      <w:r w:rsidR="007030FD" w:rsidRPr="00E35C77">
        <w:rPr>
          <w:rFonts w:ascii="Century Gothic" w:hAnsi="Century Gothic" w:cs="Times New Roman"/>
          <w:sz w:val="21"/>
          <w:szCs w:val="21"/>
          <w:lang w:val="es-ES_tradnl" w:eastAsia="es-ES_tradnl"/>
        </w:rPr>
        <w:t>9</w:t>
      </w:r>
      <w:r w:rsidR="001B0A20" w:rsidRPr="00E35C77">
        <w:rPr>
          <w:rFonts w:ascii="Century Gothic" w:hAnsi="Century Gothic" w:cs="Times New Roman"/>
          <w:sz w:val="21"/>
          <w:szCs w:val="21"/>
          <w:lang w:val="es-ES_tradnl" w:eastAsia="es-ES_tradnl"/>
        </w:rPr>
        <w:t xml:space="preserve"> </w:t>
      </w:r>
      <w:r w:rsidRPr="00E35C77">
        <w:rPr>
          <w:rFonts w:ascii="Century Gothic" w:hAnsi="Century Gothic" w:cs="Times New Roman"/>
          <w:sz w:val="21"/>
          <w:szCs w:val="21"/>
          <w:lang w:val="es-ES_tradnl" w:eastAsia="es-ES_tradnl"/>
        </w:rPr>
        <w:t xml:space="preserve">se muestra el indicador de </w:t>
      </w:r>
      <w:r w:rsidRPr="00E35C77">
        <w:rPr>
          <w:rFonts w:ascii="Century Gothic" w:hAnsi="Century Gothic" w:cs="Times New Roman"/>
          <w:i/>
          <w:sz w:val="21"/>
          <w:szCs w:val="21"/>
          <w:lang w:val="es-ES_tradnl" w:eastAsia="es-ES_tradnl"/>
        </w:rPr>
        <w:t>Intensidad de uso de agua</w:t>
      </w:r>
      <w:r w:rsidRPr="00E35C77">
        <w:rPr>
          <w:rFonts w:ascii="Century Gothic" w:hAnsi="Century Gothic" w:cs="Times New Roman"/>
          <w:sz w:val="21"/>
          <w:szCs w:val="21"/>
          <w:lang w:val="es-ES_tradnl" w:eastAsia="es-ES_tradnl"/>
        </w:rPr>
        <w:t xml:space="preserve"> –</w:t>
      </w:r>
      <w:r w:rsidR="005D5DE4" w:rsidRPr="00E35C77">
        <w:rPr>
          <w:rFonts w:ascii="Century Gothic" w:hAnsi="Century Gothic" w:cs="Times New Roman"/>
          <w:sz w:val="21"/>
          <w:szCs w:val="21"/>
          <w:lang w:val="es-ES_tradnl" w:eastAsia="es-ES_tradnl"/>
        </w:rPr>
        <w:t xml:space="preserve">el cual </w:t>
      </w:r>
      <w:r w:rsidRPr="00E35C77">
        <w:rPr>
          <w:rFonts w:ascii="Century Gothic" w:hAnsi="Century Gothic" w:cs="Times New Roman"/>
          <w:sz w:val="21"/>
          <w:szCs w:val="21"/>
          <w:lang w:val="es-ES_tradnl" w:eastAsia="es-ES_tradnl"/>
        </w:rPr>
        <w:t xml:space="preserve">incluye únicamente agua de red pública y agua de tanquero–, desagregado por actividad económica, para los años </w:t>
      </w:r>
      <w:r w:rsidR="003540AD" w:rsidRPr="00E35C77">
        <w:rPr>
          <w:rFonts w:ascii="Century Gothic" w:hAnsi="Century Gothic" w:cs="Times New Roman"/>
          <w:sz w:val="21"/>
          <w:szCs w:val="21"/>
          <w:lang w:val="es-ES_tradnl" w:eastAsia="es-ES_tradnl"/>
        </w:rPr>
        <w:t>20</w:t>
      </w:r>
      <w:r w:rsidR="00DC3112" w:rsidRPr="00E35C77">
        <w:rPr>
          <w:rFonts w:ascii="Century Gothic" w:hAnsi="Century Gothic" w:cs="Times New Roman"/>
          <w:sz w:val="21"/>
          <w:szCs w:val="21"/>
          <w:lang w:val="es-ES_tradnl" w:eastAsia="es-ES_tradnl"/>
        </w:rPr>
        <w:t>20</w:t>
      </w:r>
      <w:r w:rsidRPr="00E35C77">
        <w:rPr>
          <w:rFonts w:ascii="Century Gothic" w:hAnsi="Century Gothic" w:cs="Times New Roman"/>
          <w:sz w:val="21"/>
          <w:szCs w:val="21"/>
          <w:lang w:val="es-ES_tradnl" w:eastAsia="es-ES_tradnl"/>
        </w:rPr>
        <w:t xml:space="preserve"> y </w:t>
      </w:r>
      <w:r w:rsidR="003540AD" w:rsidRPr="00E35C77">
        <w:rPr>
          <w:rFonts w:ascii="Century Gothic" w:hAnsi="Century Gothic" w:cs="Times New Roman"/>
          <w:sz w:val="21"/>
          <w:szCs w:val="21"/>
          <w:lang w:val="es-ES_tradnl" w:eastAsia="es-ES_tradnl"/>
        </w:rPr>
        <w:t>202</w:t>
      </w:r>
      <w:r w:rsidR="00DC3112" w:rsidRPr="00E35C77">
        <w:rPr>
          <w:rFonts w:ascii="Century Gothic" w:hAnsi="Century Gothic" w:cs="Times New Roman"/>
          <w:sz w:val="21"/>
          <w:szCs w:val="21"/>
          <w:lang w:val="es-ES_tradnl" w:eastAsia="es-ES_tradnl"/>
        </w:rPr>
        <w:t>1</w:t>
      </w:r>
      <w:r w:rsidRPr="00E35C77">
        <w:rPr>
          <w:rFonts w:ascii="Century Gothic" w:hAnsi="Century Gothic" w:cs="Times New Roman"/>
          <w:sz w:val="21"/>
          <w:szCs w:val="21"/>
          <w:lang w:val="es-ES_tradnl" w:eastAsia="es-ES_tradnl"/>
        </w:rPr>
        <w:t>:</w:t>
      </w:r>
    </w:p>
    <w:p w14:paraId="2608A9B9" w14:textId="77777777" w:rsidR="00D1537D" w:rsidRPr="005D5DE4" w:rsidRDefault="00D1537D" w:rsidP="00646F55">
      <w:pPr>
        <w:jc w:val="both"/>
        <w:rPr>
          <w:rFonts w:ascii="Century Gothic" w:hAnsi="Century Gothic" w:cs="Times New Roman"/>
          <w:sz w:val="21"/>
          <w:szCs w:val="21"/>
          <w:lang w:val="es-ES_tradnl" w:eastAsia="es-ES_tradnl"/>
        </w:rPr>
      </w:pPr>
    </w:p>
    <w:p w14:paraId="29A7E79A" w14:textId="742DFF31" w:rsidR="00646F55" w:rsidRPr="00646F55" w:rsidRDefault="0092758E" w:rsidP="00646F55">
      <w:pPr>
        <w:pStyle w:val="Descripcin"/>
        <w:keepNext/>
        <w:jc w:val="both"/>
        <w:rPr>
          <w:i w:val="0"/>
        </w:rPr>
      </w:pPr>
      <w:bookmarkStart w:id="21" w:name="_Toc132722362"/>
      <w:r w:rsidRPr="00312243">
        <w:rPr>
          <w:rFonts w:cstheme="minorHAnsi"/>
          <w:b/>
          <w:i w:val="0"/>
          <w:iCs w:val="0"/>
          <w:color w:val="auto"/>
          <w:sz w:val="16"/>
          <w:szCs w:val="16"/>
        </w:rPr>
        <w:t xml:space="preserve">Figura </w:t>
      </w:r>
      <w:r w:rsidRPr="00312243">
        <w:rPr>
          <w:rFonts w:cstheme="minorHAnsi"/>
          <w:b/>
          <w:i w:val="0"/>
          <w:iCs w:val="0"/>
          <w:color w:val="auto"/>
          <w:sz w:val="16"/>
          <w:szCs w:val="16"/>
        </w:rPr>
        <w:fldChar w:fldCharType="begin"/>
      </w:r>
      <w:r w:rsidRPr="00312243">
        <w:rPr>
          <w:rFonts w:cstheme="minorHAnsi"/>
          <w:b/>
          <w:i w:val="0"/>
          <w:iCs w:val="0"/>
          <w:color w:val="auto"/>
          <w:sz w:val="16"/>
          <w:szCs w:val="16"/>
        </w:rPr>
        <w:instrText xml:space="preserve"> SEQ Figura \* ARABIC </w:instrText>
      </w:r>
      <w:r w:rsidRPr="00312243">
        <w:rPr>
          <w:rFonts w:cstheme="minorHAnsi"/>
          <w:b/>
          <w:i w:val="0"/>
          <w:iCs w:val="0"/>
          <w:color w:val="auto"/>
          <w:sz w:val="16"/>
          <w:szCs w:val="16"/>
        </w:rPr>
        <w:fldChar w:fldCharType="separate"/>
      </w:r>
      <w:r>
        <w:rPr>
          <w:rFonts w:cstheme="minorHAnsi"/>
          <w:b/>
          <w:i w:val="0"/>
          <w:iCs w:val="0"/>
          <w:noProof/>
          <w:color w:val="auto"/>
          <w:sz w:val="16"/>
          <w:szCs w:val="16"/>
        </w:rPr>
        <w:t>9</w:t>
      </w:r>
      <w:r w:rsidRPr="00312243">
        <w:rPr>
          <w:rFonts w:cstheme="minorHAnsi"/>
          <w:b/>
          <w:i w:val="0"/>
          <w:iCs w:val="0"/>
          <w:color w:val="auto"/>
          <w:sz w:val="16"/>
          <w:szCs w:val="16"/>
        </w:rPr>
        <w:fldChar w:fldCharType="end"/>
      </w:r>
      <w:r w:rsidR="00646F55" w:rsidRPr="00D1537D">
        <w:rPr>
          <w:b/>
          <w:bCs/>
          <w:i w:val="0"/>
          <w:color w:val="auto"/>
          <w:sz w:val="16"/>
        </w:rPr>
        <w:t>.</w:t>
      </w:r>
      <w:r w:rsidR="00646F55" w:rsidRPr="00D1537D">
        <w:t xml:space="preserve"> </w:t>
      </w:r>
      <w:r w:rsidR="00646F55" w:rsidRPr="00D1537D">
        <w:rPr>
          <w:rFonts w:cs="Calibri"/>
          <w:i w:val="0"/>
          <w:color w:val="auto"/>
          <w:sz w:val="16"/>
        </w:rPr>
        <w:t>Intensidad de uso de agua (m</w:t>
      </w:r>
      <w:r w:rsidR="00646F55" w:rsidRPr="00D1537D">
        <w:rPr>
          <w:rFonts w:cs="Calibri"/>
          <w:i w:val="0"/>
          <w:color w:val="auto"/>
          <w:sz w:val="16"/>
          <w:vertAlign w:val="superscript"/>
        </w:rPr>
        <w:t>3</w:t>
      </w:r>
      <w:r w:rsidR="00646F55" w:rsidRPr="00D1537D">
        <w:rPr>
          <w:rFonts w:cs="Calibri"/>
          <w:i w:val="0"/>
          <w:color w:val="auto"/>
          <w:sz w:val="16"/>
        </w:rPr>
        <w:t xml:space="preserve"> H</w:t>
      </w:r>
      <w:r w:rsidR="00646F55" w:rsidRPr="00D1537D">
        <w:rPr>
          <w:rFonts w:cs="Calibri"/>
          <w:i w:val="0"/>
          <w:color w:val="auto"/>
          <w:sz w:val="16"/>
          <w:vertAlign w:val="subscript"/>
        </w:rPr>
        <w:t>2</w:t>
      </w:r>
      <w:r w:rsidR="00646F55" w:rsidRPr="00D1537D">
        <w:rPr>
          <w:rFonts w:cs="Calibri"/>
          <w:i w:val="0"/>
          <w:color w:val="auto"/>
          <w:sz w:val="16"/>
        </w:rPr>
        <w:t>O / 1000 US$ corrientes), por actividad económica (</w:t>
      </w:r>
      <w:r w:rsidR="003540AD" w:rsidRPr="00D1537D">
        <w:rPr>
          <w:rFonts w:cs="Calibri"/>
          <w:i w:val="0"/>
          <w:color w:val="auto"/>
          <w:sz w:val="16"/>
        </w:rPr>
        <w:t>20</w:t>
      </w:r>
      <w:r w:rsidR="004776E8">
        <w:rPr>
          <w:rFonts w:cs="Calibri"/>
          <w:i w:val="0"/>
          <w:color w:val="auto"/>
          <w:sz w:val="16"/>
        </w:rPr>
        <w:t>20</w:t>
      </w:r>
      <w:r w:rsidR="00646F55" w:rsidRPr="00D1537D">
        <w:rPr>
          <w:rFonts w:cs="Calibri"/>
          <w:i w:val="0"/>
          <w:color w:val="auto"/>
          <w:sz w:val="16"/>
        </w:rPr>
        <w:t>-</w:t>
      </w:r>
      <w:r w:rsidR="003540AD" w:rsidRPr="00D1537D">
        <w:rPr>
          <w:rFonts w:cs="Calibri"/>
          <w:i w:val="0"/>
          <w:color w:val="auto"/>
          <w:sz w:val="16"/>
        </w:rPr>
        <w:t>202</w:t>
      </w:r>
      <w:r w:rsidR="004776E8">
        <w:rPr>
          <w:rFonts w:cs="Calibri"/>
          <w:i w:val="0"/>
          <w:color w:val="auto"/>
          <w:sz w:val="16"/>
        </w:rPr>
        <w:t>1</w:t>
      </w:r>
      <w:r w:rsidR="00646F55" w:rsidRPr="00D1537D">
        <w:rPr>
          <w:rFonts w:cs="Calibri"/>
          <w:i w:val="0"/>
          <w:color w:val="auto"/>
          <w:sz w:val="16"/>
        </w:rPr>
        <w:t>).</w:t>
      </w:r>
      <w:bookmarkEnd w:id="21"/>
    </w:p>
    <w:p w14:paraId="296CBD83" w14:textId="59F3ADED" w:rsidR="00646F55" w:rsidRPr="004776E8" w:rsidRDefault="004776E8" w:rsidP="00646F55">
      <w:pPr>
        <w:jc w:val="both"/>
        <w:rPr>
          <w:rFonts w:ascii="Century Gothic" w:hAnsi="Century Gothic" w:cs="Calibri"/>
          <w:b/>
          <w:color w:val="2D4B88"/>
          <w:sz w:val="16"/>
          <w:lang w:val="es-ES"/>
        </w:rPr>
      </w:pPr>
      <w:r>
        <w:rPr>
          <w:noProof/>
        </w:rPr>
        <w:drawing>
          <wp:inline distT="0" distB="0" distL="0" distR="0" wp14:anchorId="7464368F" wp14:editId="45E54740">
            <wp:extent cx="2473325" cy="3255264"/>
            <wp:effectExtent l="0" t="0" r="3175" b="2540"/>
            <wp:docPr id="2" name="Gráfico 2">
              <a:extLst xmlns:a="http://schemas.openxmlformats.org/drawingml/2006/main">
                <a:ext uri="{FF2B5EF4-FFF2-40B4-BE49-F238E27FC236}">
                  <a16:creationId xmlns:a16="http://schemas.microsoft.com/office/drawing/2014/main" id="{2A365043-BF06-4306-AC5C-3342E2E697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BAF17C4" w14:textId="77777777" w:rsidR="00646F55" w:rsidRPr="00646F55" w:rsidRDefault="00646F55" w:rsidP="00646F55">
      <w:pPr>
        <w:jc w:val="both"/>
        <w:rPr>
          <w:rFonts w:ascii="Century Gothic" w:hAnsi="Century Gothic" w:cs="Calibri"/>
          <w:b/>
          <w:color w:val="404040" w:themeColor="text1" w:themeTint="BF"/>
          <w:sz w:val="14"/>
          <w:szCs w:val="14"/>
        </w:rPr>
      </w:pPr>
    </w:p>
    <w:p w14:paraId="172F977E" w14:textId="675A6E58"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Fuente:</w:t>
      </w:r>
      <w:r w:rsidRPr="00646F55">
        <w:rPr>
          <w:rFonts w:ascii="Century Gothic" w:hAnsi="Century Gothic" w:cs="Calibri"/>
          <w:color w:val="404040" w:themeColor="text1" w:themeTint="BF"/>
          <w:sz w:val="14"/>
          <w:szCs w:val="14"/>
        </w:rPr>
        <w:t xml:space="preserve"> Módulo Ambiental </w:t>
      </w:r>
      <w:r w:rsidR="004C1042">
        <w:rPr>
          <w:rFonts w:ascii="Century Gothic" w:hAnsi="Century Gothic" w:cs="Calibri"/>
          <w:color w:val="404040" w:themeColor="text1" w:themeTint="BF"/>
          <w:sz w:val="14"/>
          <w:szCs w:val="14"/>
        </w:rPr>
        <w:t xml:space="preserve">Económica </w:t>
      </w:r>
      <w:r w:rsidRPr="00646F55">
        <w:rPr>
          <w:rFonts w:ascii="Century Gothic" w:hAnsi="Century Gothic" w:cs="Calibri"/>
          <w:color w:val="404040" w:themeColor="text1" w:themeTint="BF"/>
          <w:sz w:val="14"/>
          <w:szCs w:val="14"/>
        </w:rPr>
        <w:t xml:space="preserve">ENESEM </w:t>
      </w:r>
      <w:r w:rsidR="003540AD">
        <w:rPr>
          <w:rFonts w:ascii="Century Gothic" w:hAnsi="Century Gothic" w:cs="Calibri"/>
          <w:color w:val="404040" w:themeColor="text1" w:themeTint="BF"/>
          <w:sz w:val="14"/>
          <w:szCs w:val="14"/>
        </w:rPr>
        <w:t>20</w:t>
      </w:r>
      <w:r w:rsidR="004776E8">
        <w:rPr>
          <w:rFonts w:ascii="Century Gothic" w:hAnsi="Century Gothic" w:cs="Calibri"/>
          <w:color w:val="404040" w:themeColor="text1" w:themeTint="BF"/>
          <w:sz w:val="14"/>
          <w:szCs w:val="14"/>
        </w:rPr>
        <w:t>20</w:t>
      </w:r>
      <w:r w:rsidRPr="00646F55">
        <w:rPr>
          <w:rFonts w:ascii="Century Gothic" w:hAnsi="Century Gothic" w:cs="Calibri"/>
          <w:color w:val="404040" w:themeColor="text1" w:themeTint="BF"/>
          <w:sz w:val="14"/>
          <w:szCs w:val="14"/>
        </w:rPr>
        <w:t>-</w:t>
      </w:r>
      <w:r w:rsidR="003540AD">
        <w:rPr>
          <w:rFonts w:ascii="Century Gothic" w:hAnsi="Century Gothic" w:cs="Calibri"/>
          <w:color w:val="404040" w:themeColor="text1" w:themeTint="BF"/>
          <w:sz w:val="14"/>
          <w:szCs w:val="14"/>
        </w:rPr>
        <w:t>202</w:t>
      </w:r>
      <w:r w:rsidR="004776E8">
        <w:rPr>
          <w:rFonts w:ascii="Century Gothic" w:hAnsi="Century Gothic" w:cs="Calibri"/>
          <w:color w:val="404040" w:themeColor="text1" w:themeTint="BF"/>
          <w:sz w:val="14"/>
          <w:szCs w:val="14"/>
        </w:rPr>
        <w:t>1</w:t>
      </w:r>
      <w:r w:rsidRPr="00646F55">
        <w:rPr>
          <w:rFonts w:ascii="Century Gothic" w:hAnsi="Century Gothic" w:cs="Calibri"/>
          <w:color w:val="404040" w:themeColor="text1" w:themeTint="BF"/>
          <w:sz w:val="14"/>
          <w:szCs w:val="14"/>
        </w:rPr>
        <w:t>.</w:t>
      </w:r>
    </w:p>
    <w:p w14:paraId="761801F4" w14:textId="120FE11C" w:rsidR="0063391D" w:rsidRDefault="00671E87" w:rsidP="00646F55">
      <w:pPr>
        <w:jc w:val="both"/>
        <w:rPr>
          <w:rFonts w:ascii="Century Gothic" w:hAnsi="Century Gothic" w:cs="Times New Roman"/>
          <w:sz w:val="21"/>
          <w:szCs w:val="21"/>
          <w:lang w:val="es-ES_tradnl" w:eastAsia="es-ES_tradnl"/>
        </w:rPr>
      </w:pPr>
      <w:r w:rsidRPr="00E94F8A">
        <w:rPr>
          <w:rFonts w:ascii="Century Gothic" w:hAnsi="Century Gothic" w:cs="Times New Roman"/>
          <w:sz w:val="21"/>
          <w:szCs w:val="21"/>
          <w:lang w:val="es-ES_tradnl" w:eastAsia="es-ES_tradnl"/>
        </w:rPr>
        <w:lastRenderedPageBreak/>
        <w:t>El dato relevante</w:t>
      </w:r>
      <w:r w:rsidR="00976199" w:rsidRPr="00E94F8A">
        <w:rPr>
          <w:rFonts w:ascii="Century Gothic" w:hAnsi="Century Gothic" w:cs="Times New Roman"/>
          <w:sz w:val="21"/>
          <w:szCs w:val="21"/>
          <w:lang w:val="es-ES_tradnl" w:eastAsia="es-ES_tradnl"/>
        </w:rPr>
        <w:t xml:space="preserve"> y positivo</w:t>
      </w:r>
      <w:r w:rsidRPr="00E94F8A">
        <w:rPr>
          <w:rFonts w:ascii="Century Gothic" w:hAnsi="Century Gothic" w:cs="Times New Roman"/>
          <w:sz w:val="21"/>
          <w:szCs w:val="21"/>
          <w:lang w:val="es-ES_tradnl" w:eastAsia="es-ES_tradnl"/>
        </w:rPr>
        <w:t xml:space="preserve"> de estos resultados confirman que los sectores de</w:t>
      </w:r>
      <w:r w:rsidR="00976199" w:rsidRPr="00E94F8A">
        <w:rPr>
          <w:rFonts w:ascii="Century Gothic" w:hAnsi="Century Gothic" w:cs="Times New Roman"/>
          <w:sz w:val="21"/>
          <w:szCs w:val="21"/>
          <w:lang w:val="es-ES_tradnl" w:eastAsia="es-ES_tradnl"/>
        </w:rPr>
        <w:t xml:space="preserve"> </w:t>
      </w:r>
      <w:r w:rsidR="00976199" w:rsidRPr="00E94F8A">
        <w:rPr>
          <w:rFonts w:ascii="Century Gothic" w:hAnsi="Century Gothic" w:cs="Times New Roman"/>
          <w:i/>
          <w:iCs/>
          <w:sz w:val="21"/>
          <w:szCs w:val="21"/>
          <w:lang w:val="es-ES_tradnl" w:eastAsia="es-ES_tradnl"/>
        </w:rPr>
        <w:t>Transporte y Almacenamiento</w:t>
      </w:r>
      <w:r w:rsidR="00976199" w:rsidRPr="00E94F8A">
        <w:rPr>
          <w:rFonts w:ascii="Century Gothic" w:hAnsi="Century Gothic" w:cs="Times New Roman"/>
          <w:sz w:val="21"/>
          <w:szCs w:val="21"/>
          <w:lang w:val="es-ES_tradnl" w:eastAsia="es-ES_tradnl"/>
        </w:rPr>
        <w:t xml:space="preserve"> (3,23 m</w:t>
      </w:r>
      <w:r w:rsidR="00976199" w:rsidRPr="00E94F8A">
        <w:rPr>
          <w:rFonts w:ascii="Century Gothic" w:hAnsi="Century Gothic" w:cs="Times New Roman"/>
          <w:sz w:val="21"/>
          <w:szCs w:val="21"/>
          <w:vertAlign w:val="superscript"/>
          <w:lang w:val="es-ES_tradnl" w:eastAsia="es-ES_tradnl"/>
        </w:rPr>
        <w:t>3</w:t>
      </w:r>
      <w:r w:rsidR="00976199" w:rsidRPr="00E94F8A">
        <w:rPr>
          <w:rFonts w:ascii="Century Gothic" w:hAnsi="Century Gothic" w:cs="Times New Roman"/>
          <w:sz w:val="21"/>
          <w:szCs w:val="21"/>
          <w:lang w:val="es-ES_tradnl" w:eastAsia="es-ES_tradnl"/>
        </w:rPr>
        <w:t xml:space="preserve"> H</w:t>
      </w:r>
      <w:r w:rsidR="00976199" w:rsidRPr="00E94F8A">
        <w:rPr>
          <w:rFonts w:ascii="Century Gothic" w:hAnsi="Century Gothic" w:cs="Times New Roman"/>
          <w:sz w:val="21"/>
          <w:szCs w:val="21"/>
          <w:vertAlign w:val="subscript"/>
          <w:lang w:val="es-ES_tradnl" w:eastAsia="es-ES_tradnl"/>
        </w:rPr>
        <w:t>2</w:t>
      </w:r>
      <w:r w:rsidR="00976199" w:rsidRPr="00E94F8A">
        <w:rPr>
          <w:rFonts w:ascii="Century Gothic" w:hAnsi="Century Gothic" w:cs="Times New Roman"/>
          <w:sz w:val="21"/>
          <w:szCs w:val="21"/>
          <w:lang w:val="es-ES_tradnl" w:eastAsia="es-ES_tradnl"/>
        </w:rPr>
        <w:t>O / USD de VAB, -53,70% respecto al año 2020)</w:t>
      </w:r>
      <w:r w:rsidR="00FD28DD" w:rsidRPr="00E94F8A">
        <w:rPr>
          <w:rFonts w:ascii="Century Gothic" w:hAnsi="Century Gothic" w:cs="Times New Roman"/>
          <w:sz w:val="21"/>
          <w:szCs w:val="21"/>
          <w:lang w:val="es-ES_tradnl" w:eastAsia="es-ES_tradnl"/>
        </w:rPr>
        <w:t>;</w:t>
      </w:r>
      <w:r w:rsidRPr="00E94F8A">
        <w:rPr>
          <w:rFonts w:ascii="Century Gothic" w:hAnsi="Century Gothic" w:cs="Times New Roman"/>
          <w:sz w:val="21"/>
          <w:szCs w:val="21"/>
          <w:lang w:val="es-ES_tradnl" w:eastAsia="es-ES_tradnl"/>
        </w:rPr>
        <w:t xml:space="preserve"> </w:t>
      </w:r>
      <w:r w:rsidRPr="00E94F8A">
        <w:rPr>
          <w:rFonts w:ascii="Century Gothic" w:hAnsi="Century Gothic" w:cs="Times New Roman"/>
          <w:i/>
          <w:sz w:val="21"/>
          <w:szCs w:val="21"/>
          <w:lang w:val="es-ES_tradnl" w:eastAsia="es-ES_tradnl"/>
        </w:rPr>
        <w:t>Actividades inmobiliarias</w:t>
      </w:r>
      <w:r w:rsidRPr="00E94F8A">
        <w:rPr>
          <w:rFonts w:ascii="Century Gothic" w:hAnsi="Century Gothic" w:cs="Times New Roman"/>
          <w:sz w:val="21"/>
          <w:szCs w:val="21"/>
          <w:lang w:val="es-ES_tradnl" w:eastAsia="es-ES_tradnl"/>
        </w:rPr>
        <w:t xml:space="preserve"> (8,52 m</w:t>
      </w:r>
      <w:r w:rsidRPr="00E94F8A">
        <w:rPr>
          <w:rFonts w:ascii="Century Gothic" w:hAnsi="Century Gothic" w:cs="Times New Roman"/>
          <w:sz w:val="21"/>
          <w:szCs w:val="21"/>
          <w:vertAlign w:val="superscript"/>
          <w:lang w:val="es-ES_tradnl" w:eastAsia="es-ES_tradnl"/>
        </w:rPr>
        <w:t>3</w:t>
      </w:r>
      <w:r w:rsidRPr="00E94F8A">
        <w:rPr>
          <w:rFonts w:ascii="Century Gothic" w:hAnsi="Century Gothic" w:cs="Times New Roman"/>
          <w:sz w:val="21"/>
          <w:szCs w:val="21"/>
          <w:lang w:val="es-ES_tradnl" w:eastAsia="es-ES_tradnl"/>
        </w:rPr>
        <w:t xml:space="preserve"> H</w:t>
      </w:r>
      <w:r w:rsidRPr="00E94F8A">
        <w:rPr>
          <w:rFonts w:ascii="Century Gothic" w:hAnsi="Century Gothic" w:cs="Times New Roman"/>
          <w:sz w:val="21"/>
          <w:szCs w:val="21"/>
          <w:vertAlign w:val="subscript"/>
          <w:lang w:val="es-ES_tradnl" w:eastAsia="es-ES_tradnl"/>
        </w:rPr>
        <w:t>2</w:t>
      </w:r>
      <w:r w:rsidRPr="00E94F8A">
        <w:rPr>
          <w:rFonts w:ascii="Century Gothic" w:hAnsi="Century Gothic" w:cs="Times New Roman"/>
          <w:sz w:val="21"/>
          <w:szCs w:val="21"/>
          <w:lang w:val="es-ES_tradnl" w:eastAsia="es-ES_tradnl"/>
        </w:rPr>
        <w:t xml:space="preserve">O / USD de VAB, -45,52% respecto al año 2020) y </w:t>
      </w:r>
      <w:r w:rsidR="00FD28DD" w:rsidRPr="00E94F8A">
        <w:rPr>
          <w:rFonts w:ascii="Century Gothic" w:hAnsi="Century Gothic" w:cs="Times New Roman"/>
          <w:i/>
          <w:sz w:val="21"/>
          <w:szCs w:val="21"/>
          <w:lang w:val="es-ES_tradnl" w:eastAsia="es-ES_tradnl"/>
        </w:rPr>
        <w:t>Construcción</w:t>
      </w:r>
      <w:r w:rsidRPr="00E94F8A">
        <w:rPr>
          <w:rFonts w:ascii="Century Gothic" w:hAnsi="Century Gothic" w:cs="Times New Roman"/>
          <w:sz w:val="21"/>
          <w:szCs w:val="21"/>
          <w:lang w:val="es-ES_tradnl" w:eastAsia="es-ES_tradnl"/>
        </w:rPr>
        <w:t xml:space="preserve"> (</w:t>
      </w:r>
      <w:r w:rsidR="00FD28DD" w:rsidRPr="00E94F8A">
        <w:rPr>
          <w:rFonts w:ascii="Century Gothic" w:hAnsi="Century Gothic" w:cs="Times New Roman"/>
          <w:sz w:val="21"/>
          <w:szCs w:val="21"/>
          <w:lang w:val="es-ES_tradnl" w:eastAsia="es-ES_tradnl"/>
        </w:rPr>
        <w:t>2</w:t>
      </w:r>
      <w:r w:rsidRPr="00E94F8A">
        <w:rPr>
          <w:rFonts w:ascii="Century Gothic" w:hAnsi="Century Gothic" w:cs="Times New Roman"/>
          <w:sz w:val="21"/>
          <w:szCs w:val="21"/>
          <w:lang w:val="es-ES_tradnl" w:eastAsia="es-ES_tradnl"/>
        </w:rPr>
        <w:t>,</w:t>
      </w:r>
      <w:r w:rsidR="00FD28DD" w:rsidRPr="00E94F8A">
        <w:rPr>
          <w:rFonts w:ascii="Century Gothic" w:hAnsi="Century Gothic" w:cs="Times New Roman"/>
          <w:sz w:val="21"/>
          <w:szCs w:val="21"/>
          <w:lang w:val="es-ES_tradnl" w:eastAsia="es-ES_tradnl"/>
        </w:rPr>
        <w:t>55</w:t>
      </w:r>
      <w:r w:rsidRPr="00E94F8A">
        <w:rPr>
          <w:rFonts w:ascii="Century Gothic" w:hAnsi="Century Gothic" w:cs="Times New Roman"/>
          <w:sz w:val="21"/>
          <w:szCs w:val="21"/>
          <w:lang w:val="es-ES_tradnl" w:eastAsia="es-ES_tradnl"/>
        </w:rPr>
        <w:t xml:space="preserve"> m</w:t>
      </w:r>
      <w:r w:rsidRPr="00E94F8A">
        <w:rPr>
          <w:rFonts w:ascii="Century Gothic" w:hAnsi="Century Gothic" w:cs="Times New Roman"/>
          <w:sz w:val="21"/>
          <w:szCs w:val="21"/>
          <w:vertAlign w:val="superscript"/>
          <w:lang w:val="es-ES_tradnl" w:eastAsia="es-ES_tradnl"/>
        </w:rPr>
        <w:t>3</w:t>
      </w:r>
      <w:r w:rsidRPr="00E94F8A">
        <w:rPr>
          <w:rFonts w:ascii="Century Gothic" w:hAnsi="Century Gothic" w:cs="Times New Roman"/>
          <w:sz w:val="21"/>
          <w:szCs w:val="21"/>
          <w:lang w:val="es-ES_tradnl" w:eastAsia="es-ES_tradnl"/>
        </w:rPr>
        <w:t xml:space="preserve"> H</w:t>
      </w:r>
      <w:r w:rsidRPr="00E94F8A">
        <w:rPr>
          <w:rFonts w:ascii="Century Gothic" w:hAnsi="Century Gothic" w:cs="Times New Roman"/>
          <w:sz w:val="21"/>
          <w:szCs w:val="21"/>
          <w:vertAlign w:val="subscript"/>
          <w:lang w:val="es-ES_tradnl" w:eastAsia="es-ES_tradnl"/>
        </w:rPr>
        <w:t>2</w:t>
      </w:r>
      <w:r w:rsidRPr="00E94F8A">
        <w:rPr>
          <w:rFonts w:ascii="Century Gothic" w:hAnsi="Century Gothic" w:cs="Times New Roman"/>
          <w:sz w:val="21"/>
          <w:szCs w:val="21"/>
          <w:lang w:val="es-ES_tradnl" w:eastAsia="es-ES_tradnl"/>
        </w:rPr>
        <w:t>O / USD de VAB, -</w:t>
      </w:r>
      <w:r w:rsidR="00FD28DD" w:rsidRPr="00E94F8A">
        <w:rPr>
          <w:rFonts w:ascii="Century Gothic" w:hAnsi="Century Gothic" w:cs="Times New Roman"/>
          <w:sz w:val="21"/>
          <w:szCs w:val="21"/>
          <w:lang w:val="es-ES_tradnl" w:eastAsia="es-ES_tradnl"/>
        </w:rPr>
        <w:t>32</w:t>
      </w:r>
      <w:r w:rsidRPr="00E94F8A">
        <w:rPr>
          <w:rFonts w:ascii="Century Gothic" w:hAnsi="Century Gothic" w:cs="Times New Roman"/>
          <w:sz w:val="21"/>
          <w:szCs w:val="21"/>
          <w:lang w:val="es-ES_tradnl" w:eastAsia="es-ES_tradnl"/>
        </w:rPr>
        <w:t>,</w:t>
      </w:r>
      <w:r w:rsidR="00FD28DD" w:rsidRPr="00E94F8A">
        <w:rPr>
          <w:rFonts w:ascii="Century Gothic" w:hAnsi="Century Gothic" w:cs="Times New Roman"/>
          <w:sz w:val="21"/>
          <w:szCs w:val="21"/>
          <w:lang w:val="es-ES_tradnl" w:eastAsia="es-ES_tradnl"/>
        </w:rPr>
        <w:t>81</w:t>
      </w:r>
      <w:r w:rsidRPr="00E94F8A">
        <w:rPr>
          <w:rFonts w:ascii="Century Gothic" w:hAnsi="Century Gothic" w:cs="Times New Roman"/>
          <w:sz w:val="21"/>
          <w:szCs w:val="21"/>
          <w:lang w:val="es-ES_tradnl" w:eastAsia="es-ES_tradnl"/>
        </w:rPr>
        <w:t>% respecto al año 2020)</w:t>
      </w:r>
      <w:r w:rsidR="007E5E63" w:rsidRPr="00E94F8A">
        <w:rPr>
          <w:rFonts w:ascii="Century Gothic" w:hAnsi="Century Gothic" w:cs="Times New Roman"/>
          <w:sz w:val="21"/>
          <w:szCs w:val="21"/>
          <w:lang w:val="es-ES_tradnl" w:eastAsia="es-ES_tradnl"/>
        </w:rPr>
        <w:t>, son tres de las actividades económicas que tienen valores del indicador por debajo de la media nacional, además de tener las caídas más altas de todas las actividades. Esto lo han logrado básicamente recortando gastos generales y gastos ambientales, esto último alejado de lo ideal.</w:t>
      </w:r>
    </w:p>
    <w:p w14:paraId="2C49D83A" w14:textId="77777777" w:rsidR="00671E87" w:rsidRPr="005E4A13" w:rsidRDefault="00671E87" w:rsidP="00646F55">
      <w:pPr>
        <w:jc w:val="both"/>
        <w:rPr>
          <w:rFonts w:ascii="Century Gothic" w:hAnsi="Century Gothic" w:cs="Times New Roman"/>
          <w:sz w:val="21"/>
          <w:szCs w:val="21"/>
          <w:lang w:val="es-ES_tradnl" w:eastAsia="es-ES_tradnl"/>
        </w:rPr>
      </w:pPr>
    </w:p>
    <w:p w14:paraId="49FFDE20" w14:textId="5BBCCE61" w:rsidR="00646F55" w:rsidRPr="002B53F8" w:rsidRDefault="00646F55" w:rsidP="00646F55">
      <w:pPr>
        <w:jc w:val="both"/>
        <w:rPr>
          <w:rFonts w:ascii="Century Gothic" w:hAnsi="Century Gothic" w:cs="Times New Roman"/>
          <w:sz w:val="21"/>
          <w:szCs w:val="21"/>
          <w:lang w:val="es-ES_tradnl" w:eastAsia="es-ES_tradnl"/>
        </w:rPr>
      </w:pPr>
      <w:r w:rsidRPr="00B177F8">
        <w:rPr>
          <w:rFonts w:ascii="Century Gothic" w:hAnsi="Century Gothic" w:cs="Times New Roman"/>
          <w:sz w:val="21"/>
          <w:szCs w:val="21"/>
          <w:lang w:eastAsia="es-ES_tradnl"/>
        </w:rPr>
        <w:t xml:space="preserve">En el tema de la gestión de las aguas residuales puede decirse que, en el año </w:t>
      </w:r>
      <w:r w:rsidR="003540AD" w:rsidRPr="00B177F8">
        <w:rPr>
          <w:rFonts w:ascii="Century Gothic" w:hAnsi="Century Gothic" w:cs="Times New Roman"/>
          <w:sz w:val="21"/>
          <w:szCs w:val="21"/>
          <w:lang w:eastAsia="es-ES_tradnl"/>
        </w:rPr>
        <w:t>202</w:t>
      </w:r>
      <w:r w:rsidR="009C0291" w:rsidRPr="00B177F8">
        <w:rPr>
          <w:rFonts w:ascii="Century Gothic" w:hAnsi="Century Gothic" w:cs="Times New Roman"/>
          <w:sz w:val="21"/>
          <w:szCs w:val="21"/>
          <w:lang w:eastAsia="es-ES_tradnl"/>
        </w:rPr>
        <w:t>1</w:t>
      </w:r>
      <w:r w:rsidRPr="00B177F8">
        <w:rPr>
          <w:rFonts w:ascii="Century Gothic" w:hAnsi="Century Gothic" w:cs="Times New Roman"/>
          <w:sz w:val="21"/>
          <w:szCs w:val="21"/>
          <w:lang w:eastAsia="es-ES_tradnl"/>
        </w:rPr>
        <w:t xml:space="preserve">, </w:t>
      </w:r>
      <w:r w:rsidRPr="00B177F8">
        <w:rPr>
          <w:rFonts w:ascii="Century Gothic" w:hAnsi="Century Gothic" w:cs="Times New Roman"/>
          <w:sz w:val="21"/>
          <w:szCs w:val="21"/>
          <w:lang w:val="es-ES_tradnl" w:eastAsia="es-ES_tradnl"/>
        </w:rPr>
        <w:t xml:space="preserve">las empresas nacionales </w:t>
      </w:r>
      <w:r w:rsidR="00B7232F" w:rsidRPr="00B177F8">
        <w:rPr>
          <w:rFonts w:ascii="Century Gothic" w:hAnsi="Century Gothic" w:cs="Times New Roman"/>
          <w:sz w:val="21"/>
          <w:szCs w:val="21"/>
          <w:lang w:val="es-ES_tradnl" w:eastAsia="es-ES_tradnl"/>
        </w:rPr>
        <w:t>no</w:t>
      </w:r>
      <w:r w:rsidR="00BA4738" w:rsidRPr="00B177F8">
        <w:rPr>
          <w:rFonts w:ascii="Century Gothic" w:hAnsi="Century Gothic" w:cs="Times New Roman"/>
          <w:sz w:val="21"/>
          <w:szCs w:val="21"/>
          <w:lang w:val="es-ES_tradnl" w:eastAsia="es-ES_tradnl"/>
        </w:rPr>
        <w:t xml:space="preserve"> </w:t>
      </w:r>
      <w:r w:rsidRPr="00B177F8">
        <w:rPr>
          <w:rFonts w:ascii="Century Gothic" w:hAnsi="Century Gothic" w:cs="Times New Roman"/>
          <w:sz w:val="21"/>
          <w:szCs w:val="21"/>
          <w:lang w:val="es-ES_tradnl" w:eastAsia="es-ES_tradnl"/>
        </w:rPr>
        <w:t>gestionan</w:t>
      </w:r>
      <w:r w:rsidR="00B7232F" w:rsidRPr="00B177F8">
        <w:rPr>
          <w:rFonts w:ascii="Century Gothic" w:hAnsi="Century Gothic" w:cs="Times New Roman"/>
          <w:sz w:val="21"/>
          <w:szCs w:val="21"/>
          <w:lang w:val="es-ES_tradnl" w:eastAsia="es-ES_tradnl"/>
        </w:rPr>
        <w:t xml:space="preserve"> </w:t>
      </w:r>
      <w:r w:rsidR="00B7232F" w:rsidRPr="005C47B8">
        <w:rPr>
          <w:rFonts w:ascii="Century Gothic" w:hAnsi="Century Gothic" w:cs="Times New Roman"/>
          <w:sz w:val="21"/>
          <w:szCs w:val="21"/>
          <w:lang w:val="es-ES_tradnl" w:eastAsia="es-ES_tradnl"/>
        </w:rPr>
        <w:t>adecuadament</w:t>
      </w:r>
      <w:r w:rsidRPr="005C47B8">
        <w:rPr>
          <w:rFonts w:ascii="Century Gothic" w:hAnsi="Century Gothic" w:cs="Times New Roman"/>
          <w:sz w:val="21"/>
          <w:szCs w:val="21"/>
          <w:lang w:val="es-ES_tradnl" w:eastAsia="es-ES_tradnl"/>
        </w:rPr>
        <w:t>e</w:t>
      </w:r>
      <w:r w:rsidRPr="00B177F8">
        <w:rPr>
          <w:rFonts w:ascii="Century Gothic" w:hAnsi="Century Gothic" w:cs="Times New Roman"/>
          <w:sz w:val="21"/>
          <w:szCs w:val="21"/>
          <w:lang w:val="es-ES_tradnl" w:eastAsia="es-ES_tradnl"/>
        </w:rPr>
        <w:t xml:space="preserve"> sus aguas residuales. A nivel nacional, 1</w:t>
      </w:r>
      <w:r w:rsidR="00E82712" w:rsidRPr="00B177F8">
        <w:rPr>
          <w:rFonts w:ascii="Century Gothic" w:hAnsi="Century Gothic" w:cs="Times New Roman"/>
          <w:sz w:val="21"/>
          <w:szCs w:val="21"/>
          <w:lang w:val="es-ES_tradnl" w:eastAsia="es-ES_tradnl"/>
        </w:rPr>
        <w:t>.</w:t>
      </w:r>
      <w:r w:rsidR="00BA4738" w:rsidRPr="00B177F8">
        <w:rPr>
          <w:rFonts w:ascii="Century Gothic" w:hAnsi="Century Gothic" w:cs="Times New Roman"/>
          <w:sz w:val="21"/>
          <w:szCs w:val="21"/>
          <w:lang w:val="es-ES_tradnl" w:eastAsia="es-ES_tradnl"/>
        </w:rPr>
        <w:t>3</w:t>
      </w:r>
      <w:r w:rsidR="00B867B2" w:rsidRPr="00B177F8">
        <w:rPr>
          <w:rFonts w:ascii="Century Gothic" w:hAnsi="Century Gothic" w:cs="Times New Roman"/>
          <w:sz w:val="21"/>
          <w:szCs w:val="21"/>
          <w:lang w:val="es-ES_tradnl" w:eastAsia="es-ES_tradnl"/>
        </w:rPr>
        <w:t>47</w:t>
      </w:r>
      <w:r w:rsidRPr="00B177F8">
        <w:rPr>
          <w:rFonts w:ascii="Century Gothic" w:hAnsi="Century Gothic" w:cs="Times New Roman"/>
          <w:sz w:val="21"/>
          <w:szCs w:val="21"/>
          <w:lang w:val="es-ES_tradnl" w:eastAsia="es-ES_tradnl"/>
        </w:rPr>
        <w:t xml:space="preserve"> de 1</w:t>
      </w:r>
      <w:r w:rsidR="00BA4738" w:rsidRPr="00B177F8">
        <w:rPr>
          <w:rFonts w:ascii="Century Gothic" w:hAnsi="Century Gothic" w:cs="Times New Roman"/>
          <w:sz w:val="21"/>
          <w:szCs w:val="21"/>
          <w:lang w:val="es-ES_tradnl" w:eastAsia="es-ES_tradnl"/>
        </w:rPr>
        <w:t>3</w:t>
      </w:r>
      <w:r w:rsidR="00E82712" w:rsidRPr="00B177F8">
        <w:rPr>
          <w:rFonts w:ascii="Century Gothic" w:hAnsi="Century Gothic" w:cs="Times New Roman"/>
          <w:sz w:val="21"/>
          <w:szCs w:val="21"/>
          <w:lang w:val="es-ES_tradnl" w:eastAsia="es-ES_tradnl"/>
        </w:rPr>
        <w:t>.</w:t>
      </w:r>
      <w:r w:rsidR="000469A9" w:rsidRPr="00B177F8">
        <w:rPr>
          <w:rFonts w:ascii="Century Gothic" w:hAnsi="Century Gothic" w:cs="Times New Roman"/>
          <w:sz w:val="21"/>
          <w:szCs w:val="21"/>
          <w:lang w:val="es-ES_tradnl" w:eastAsia="es-ES_tradnl"/>
        </w:rPr>
        <w:t>8</w:t>
      </w:r>
      <w:r w:rsidR="00BA4738" w:rsidRPr="00B177F8">
        <w:rPr>
          <w:rFonts w:ascii="Century Gothic" w:hAnsi="Century Gothic" w:cs="Times New Roman"/>
          <w:sz w:val="21"/>
          <w:szCs w:val="21"/>
          <w:lang w:val="es-ES_tradnl" w:eastAsia="es-ES_tradnl"/>
        </w:rPr>
        <w:t>27</w:t>
      </w:r>
      <w:r w:rsidRPr="00B177F8">
        <w:rPr>
          <w:rFonts w:ascii="Century Gothic" w:hAnsi="Century Gothic" w:cs="Times New Roman"/>
          <w:sz w:val="21"/>
          <w:szCs w:val="21"/>
          <w:lang w:val="es-ES_tradnl" w:eastAsia="es-ES_tradnl"/>
        </w:rPr>
        <w:t xml:space="preserve"> empresas =</w:t>
      </w:r>
      <w:r w:rsidR="00851F9B" w:rsidRPr="00B177F8">
        <w:rPr>
          <w:rFonts w:ascii="Century Gothic" w:hAnsi="Century Gothic" w:cs="Times New Roman"/>
          <w:sz w:val="21"/>
          <w:szCs w:val="21"/>
          <w:lang w:val="es-ES_tradnl" w:eastAsia="es-ES_tradnl"/>
        </w:rPr>
        <w:t xml:space="preserve"> </w:t>
      </w:r>
      <w:r w:rsidR="00B867B2" w:rsidRPr="00B177F8">
        <w:rPr>
          <w:rFonts w:ascii="Century Gothic" w:hAnsi="Century Gothic" w:cs="Times New Roman"/>
          <w:sz w:val="21"/>
          <w:szCs w:val="21"/>
          <w:lang w:val="es-ES_tradnl" w:eastAsia="es-ES_tradnl"/>
        </w:rPr>
        <w:t>9</w:t>
      </w:r>
      <w:r w:rsidR="00E82712" w:rsidRPr="00B177F8">
        <w:rPr>
          <w:rFonts w:ascii="Century Gothic" w:hAnsi="Century Gothic" w:cs="Times New Roman"/>
          <w:sz w:val="21"/>
          <w:szCs w:val="21"/>
          <w:lang w:val="es-ES_tradnl" w:eastAsia="es-ES_tradnl"/>
        </w:rPr>
        <w:t>,</w:t>
      </w:r>
      <w:r w:rsidR="00B867B2" w:rsidRPr="00B177F8">
        <w:rPr>
          <w:rFonts w:ascii="Century Gothic" w:hAnsi="Century Gothic" w:cs="Times New Roman"/>
          <w:sz w:val="21"/>
          <w:szCs w:val="21"/>
          <w:lang w:val="es-ES_tradnl" w:eastAsia="es-ES_tradnl"/>
        </w:rPr>
        <w:t>74</w:t>
      </w:r>
      <w:r w:rsidRPr="00B177F8">
        <w:rPr>
          <w:rFonts w:ascii="Century Gothic" w:hAnsi="Century Gothic" w:cs="Times New Roman"/>
          <w:sz w:val="21"/>
          <w:szCs w:val="21"/>
          <w:lang w:val="es-ES_tradnl" w:eastAsia="es-ES_tradnl"/>
        </w:rPr>
        <w:t>% generan aguas residuales en sus procesos productivos. De estas 1</w:t>
      </w:r>
      <w:r w:rsidR="00E82712" w:rsidRPr="00B177F8">
        <w:rPr>
          <w:rFonts w:ascii="Century Gothic" w:hAnsi="Century Gothic" w:cs="Times New Roman"/>
          <w:sz w:val="21"/>
          <w:szCs w:val="21"/>
          <w:lang w:val="es-ES_tradnl" w:eastAsia="es-ES_tradnl"/>
        </w:rPr>
        <w:t>.</w:t>
      </w:r>
      <w:r w:rsidR="00B867B2" w:rsidRPr="00B177F8">
        <w:rPr>
          <w:rFonts w:ascii="Century Gothic" w:hAnsi="Century Gothic" w:cs="Times New Roman"/>
          <w:sz w:val="21"/>
          <w:szCs w:val="21"/>
          <w:lang w:val="es-ES_tradnl" w:eastAsia="es-ES_tradnl"/>
        </w:rPr>
        <w:t>347</w:t>
      </w:r>
      <w:r w:rsidRPr="00B177F8">
        <w:rPr>
          <w:rFonts w:ascii="Century Gothic" w:hAnsi="Century Gothic" w:cs="Times New Roman"/>
          <w:sz w:val="21"/>
          <w:szCs w:val="21"/>
          <w:lang w:val="es-ES_tradnl" w:eastAsia="es-ES_tradnl"/>
        </w:rPr>
        <w:t xml:space="preserve"> empresas, </w:t>
      </w:r>
      <w:r w:rsidR="00D05A2D" w:rsidRPr="00B177F8">
        <w:rPr>
          <w:rFonts w:ascii="Century Gothic" w:hAnsi="Century Gothic" w:cs="Times New Roman"/>
          <w:sz w:val="21"/>
          <w:szCs w:val="21"/>
          <w:lang w:val="es-ES_tradnl" w:eastAsia="es-ES_tradnl"/>
        </w:rPr>
        <w:t>1</w:t>
      </w:r>
      <w:r w:rsidR="00E82712" w:rsidRPr="00B177F8">
        <w:rPr>
          <w:rFonts w:ascii="Century Gothic" w:hAnsi="Century Gothic" w:cs="Times New Roman"/>
          <w:sz w:val="21"/>
          <w:szCs w:val="21"/>
          <w:lang w:val="es-ES_tradnl" w:eastAsia="es-ES_tradnl"/>
        </w:rPr>
        <w:t>.</w:t>
      </w:r>
      <w:r w:rsidR="00B867B2" w:rsidRPr="00B177F8">
        <w:rPr>
          <w:rFonts w:ascii="Century Gothic" w:hAnsi="Century Gothic" w:cs="Times New Roman"/>
          <w:sz w:val="21"/>
          <w:szCs w:val="21"/>
          <w:lang w:val="es-ES_tradnl" w:eastAsia="es-ES_tradnl"/>
        </w:rPr>
        <w:t>136</w:t>
      </w:r>
      <w:r w:rsidRPr="00B177F8">
        <w:rPr>
          <w:rFonts w:ascii="Century Gothic" w:hAnsi="Century Gothic" w:cs="Times New Roman"/>
          <w:sz w:val="21"/>
          <w:szCs w:val="21"/>
          <w:lang w:val="es-ES_tradnl" w:eastAsia="es-ES_tradnl"/>
        </w:rPr>
        <w:t xml:space="preserve"> (</w:t>
      </w:r>
      <w:r w:rsidR="00B867B2" w:rsidRPr="00B177F8">
        <w:rPr>
          <w:rFonts w:ascii="Century Gothic" w:hAnsi="Century Gothic" w:cs="Times New Roman"/>
          <w:sz w:val="21"/>
          <w:szCs w:val="21"/>
          <w:lang w:val="es-ES_tradnl" w:eastAsia="es-ES_tradnl"/>
        </w:rPr>
        <w:t>84</w:t>
      </w:r>
      <w:r w:rsidR="00E82712" w:rsidRPr="00B177F8">
        <w:rPr>
          <w:rFonts w:ascii="Century Gothic" w:hAnsi="Century Gothic" w:cs="Times New Roman"/>
          <w:sz w:val="21"/>
          <w:szCs w:val="21"/>
          <w:lang w:val="es-ES_tradnl" w:eastAsia="es-ES_tradnl"/>
        </w:rPr>
        <w:t>,</w:t>
      </w:r>
      <w:r w:rsidR="00B867B2" w:rsidRPr="00B177F8">
        <w:rPr>
          <w:rFonts w:ascii="Century Gothic" w:hAnsi="Century Gothic" w:cs="Times New Roman"/>
          <w:sz w:val="21"/>
          <w:szCs w:val="21"/>
          <w:lang w:val="es-ES_tradnl" w:eastAsia="es-ES_tradnl"/>
        </w:rPr>
        <w:t>34</w:t>
      </w:r>
      <w:r w:rsidRPr="00B177F8">
        <w:rPr>
          <w:rFonts w:ascii="Century Gothic" w:hAnsi="Century Gothic" w:cs="Times New Roman"/>
          <w:sz w:val="21"/>
          <w:szCs w:val="21"/>
          <w:lang w:val="es-ES_tradnl" w:eastAsia="es-ES_tradnl"/>
        </w:rPr>
        <w:t>%) dan algún tipo de tratamiento a las mismas.</w:t>
      </w:r>
      <w:r w:rsidR="00851F9B" w:rsidRPr="00B177F8">
        <w:rPr>
          <w:rFonts w:ascii="Century Gothic" w:hAnsi="Century Gothic" w:cs="Times New Roman"/>
          <w:sz w:val="21"/>
          <w:szCs w:val="21"/>
          <w:lang w:val="es-ES_tradnl" w:eastAsia="es-ES_tradnl"/>
        </w:rPr>
        <w:t xml:space="preserve"> Esto implica que hay al menos un </w:t>
      </w:r>
      <w:r w:rsidR="00B867B2" w:rsidRPr="00B177F8">
        <w:rPr>
          <w:rFonts w:ascii="Century Gothic" w:hAnsi="Century Gothic" w:cs="Times New Roman"/>
          <w:sz w:val="21"/>
          <w:szCs w:val="21"/>
          <w:lang w:val="es-ES_tradnl" w:eastAsia="es-ES_tradnl"/>
        </w:rPr>
        <w:t>15</w:t>
      </w:r>
      <w:r w:rsidR="00851F9B" w:rsidRPr="00B177F8">
        <w:rPr>
          <w:rFonts w:ascii="Century Gothic" w:hAnsi="Century Gothic" w:cs="Times New Roman"/>
          <w:sz w:val="21"/>
          <w:szCs w:val="21"/>
          <w:lang w:val="es-ES_tradnl" w:eastAsia="es-ES_tradnl"/>
        </w:rPr>
        <w:t xml:space="preserve">% de empresas que generan aguas residuales, pero que no dan ningún tratamiento a sus aguas residuales. Esta es una situación lejana de la ideal. </w:t>
      </w:r>
      <w:r w:rsidR="00B867B2" w:rsidRPr="00B177F8">
        <w:rPr>
          <w:rFonts w:ascii="Century Gothic" w:hAnsi="Century Gothic" w:cs="Times New Roman"/>
          <w:sz w:val="21"/>
          <w:szCs w:val="21"/>
          <w:lang w:val="es-ES_tradnl" w:eastAsia="es-ES_tradnl"/>
        </w:rPr>
        <w:t xml:space="preserve">No obstante, cabe recalcar </w:t>
      </w:r>
      <w:r w:rsidR="00B7232F" w:rsidRPr="00B177F8">
        <w:rPr>
          <w:rFonts w:ascii="Century Gothic" w:hAnsi="Century Gothic" w:cs="Times New Roman"/>
          <w:sz w:val="21"/>
          <w:szCs w:val="21"/>
          <w:lang w:val="es-ES_tradnl" w:eastAsia="es-ES_tradnl"/>
        </w:rPr>
        <w:t>que</w:t>
      </w:r>
      <w:r w:rsidR="00B867B2" w:rsidRPr="00B177F8">
        <w:rPr>
          <w:rFonts w:ascii="Century Gothic" w:hAnsi="Century Gothic" w:cs="Times New Roman"/>
          <w:sz w:val="21"/>
          <w:szCs w:val="21"/>
          <w:lang w:val="es-ES_tradnl" w:eastAsia="es-ES_tradnl"/>
        </w:rPr>
        <w:t xml:space="preserve"> en el año 2020, apenas el 69,27% de empresas qu</w:t>
      </w:r>
      <w:r w:rsidR="00B7232F" w:rsidRPr="00B177F8">
        <w:rPr>
          <w:rFonts w:ascii="Century Gothic" w:hAnsi="Century Gothic" w:cs="Times New Roman"/>
          <w:sz w:val="21"/>
          <w:szCs w:val="21"/>
          <w:lang w:val="es-ES_tradnl" w:eastAsia="es-ES_tradnl"/>
        </w:rPr>
        <w:t xml:space="preserve">e </w:t>
      </w:r>
      <w:r w:rsidR="00B867B2" w:rsidRPr="00B177F8">
        <w:rPr>
          <w:rFonts w:ascii="Century Gothic" w:hAnsi="Century Gothic" w:cs="Times New Roman"/>
          <w:sz w:val="21"/>
          <w:szCs w:val="21"/>
          <w:lang w:val="es-ES_tradnl" w:eastAsia="es-ES_tradnl"/>
        </w:rPr>
        <w:t>generaban aguas residuales les daban algún tipo de tra</w:t>
      </w:r>
      <w:r w:rsidR="004E0F14" w:rsidRPr="00B177F8">
        <w:rPr>
          <w:rFonts w:ascii="Century Gothic" w:hAnsi="Century Gothic" w:cs="Times New Roman"/>
          <w:sz w:val="21"/>
          <w:szCs w:val="21"/>
          <w:lang w:val="es-ES_tradnl" w:eastAsia="es-ES_tradnl"/>
        </w:rPr>
        <w:t>tamiento</w:t>
      </w:r>
      <w:r w:rsidR="00851F9B" w:rsidRPr="00B177F8">
        <w:rPr>
          <w:rFonts w:ascii="Century Gothic" w:hAnsi="Century Gothic" w:cs="Times New Roman"/>
          <w:sz w:val="21"/>
          <w:szCs w:val="21"/>
          <w:lang w:val="es-ES_tradnl" w:eastAsia="es-ES_tradnl"/>
        </w:rPr>
        <w:t>.</w:t>
      </w:r>
    </w:p>
    <w:p w14:paraId="56388127" w14:textId="77777777" w:rsidR="00D1537D" w:rsidRPr="002B53F8" w:rsidRDefault="00D1537D" w:rsidP="00646F55">
      <w:pPr>
        <w:jc w:val="both"/>
        <w:rPr>
          <w:rFonts w:ascii="Century Gothic" w:hAnsi="Century Gothic" w:cs="Times New Roman"/>
          <w:sz w:val="21"/>
          <w:szCs w:val="21"/>
          <w:lang w:val="es-ES_tradnl" w:eastAsia="es-ES_tradnl"/>
        </w:rPr>
      </w:pPr>
    </w:p>
    <w:p w14:paraId="13982326" w14:textId="24B1DE9A" w:rsidR="00646F55" w:rsidRPr="00646F55" w:rsidRDefault="00646F55" w:rsidP="00646F55">
      <w:pPr>
        <w:pStyle w:val="Descripcin"/>
        <w:keepNext/>
        <w:jc w:val="both"/>
        <w:rPr>
          <w:i w:val="0"/>
        </w:rPr>
      </w:pPr>
      <w:bookmarkStart w:id="22" w:name="_Toc132722363"/>
      <w:r w:rsidRPr="00705E01">
        <w:rPr>
          <w:b/>
          <w:bCs/>
          <w:i w:val="0"/>
          <w:color w:val="auto"/>
          <w:sz w:val="16"/>
        </w:rPr>
        <w:t xml:space="preserve">Figura </w:t>
      </w:r>
      <w:r w:rsidRPr="00705E01">
        <w:rPr>
          <w:b/>
          <w:bCs/>
          <w:i w:val="0"/>
          <w:color w:val="auto"/>
          <w:sz w:val="16"/>
        </w:rPr>
        <w:fldChar w:fldCharType="begin"/>
      </w:r>
      <w:r w:rsidRPr="00705E01">
        <w:rPr>
          <w:b/>
          <w:bCs/>
          <w:i w:val="0"/>
          <w:color w:val="auto"/>
          <w:sz w:val="16"/>
        </w:rPr>
        <w:instrText xml:space="preserve"> SEQ Figura \* ARABIC </w:instrText>
      </w:r>
      <w:r w:rsidRPr="00705E01">
        <w:rPr>
          <w:b/>
          <w:bCs/>
          <w:i w:val="0"/>
          <w:color w:val="auto"/>
          <w:sz w:val="16"/>
        </w:rPr>
        <w:fldChar w:fldCharType="separate"/>
      </w:r>
      <w:r w:rsidRPr="00705E01">
        <w:rPr>
          <w:b/>
          <w:bCs/>
          <w:i w:val="0"/>
          <w:noProof/>
          <w:color w:val="auto"/>
          <w:sz w:val="16"/>
        </w:rPr>
        <w:t>1</w:t>
      </w:r>
      <w:r w:rsidR="00711687">
        <w:rPr>
          <w:b/>
          <w:bCs/>
          <w:i w:val="0"/>
          <w:noProof/>
          <w:color w:val="auto"/>
          <w:sz w:val="16"/>
        </w:rPr>
        <w:t>0</w:t>
      </w:r>
      <w:r w:rsidRPr="00705E01">
        <w:rPr>
          <w:b/>
          <w:bCs/>
          <w:i w:val="0"/>
          <w:color w:val="auto"/>
          <w:sz w:val="16"/>
        </w:rPr>
        <w:fldChar w:fldCharType="end"/>
      </w:r>
      <w:r w:rsidRPr="00705E01">
        <w:t xml:space="preserve">. </w:t>
      </w:r>
      <w:r w:rsidRPr="00705E01">
        <w:rPr>
          <w:rFonts w:cs="Calibri"/>
          <w:i w:val="0"/>
          <w:color w:val="auto"/>
          <w:sz w:val="16"/>
        </w:rPr>
        <w:t>Empresas que trataron sus aguas residuales (% del total que tratan sus aguas residuales), por actividad económica (</w:t>
      </w:r>
      <w:r w:rsidR="003540AD" w:rsidRPr="00705E01">
        <w:rPr>
          <w:rFonts w:cs="Calibri"/>
          <w:i w:val="0"/>
          <w:color w:val="auto"/>
          <w:sz w:val="16"/>
        </w:rPr>
        <w:t>202</w:t>
      </w:r>
      <w:r w:rsidR="00B7232F">
        <w:rPr>
          <w:rFonts w:cs="Calibri"/>
          <w:i w:val="0"/>
          <w:color w:val="auto"/>
          <w:sz w:val="16"/>
        </w:rPr>
        <w:t>1</w:t>
      </w:r>
      <w:r w:rsidRPr="00705E01">
        <w:rPr>
          <w:rFonts w:cs="Calibri"/>
          <w:i w:val="0"/>
          <w:color w:val="auto"/>
          <w:sz w:val="16"/>
        </w:rPr>
        <w:t>).</w:t>
      </w:r>
      <w:bookmarkEnd w:id="22"/>
    </w:p>
    <w:p w14:paraId="4E8926EB" w14:textId="158F372F" w:rsidR="00646F55" w:rsidRPr="00646F55" w:rsidRDefault="0051600F" w:rsidP="00646F55">
      <w:pPr>
        <w:jc w:val="both"/>
        <w:rPr>
          <w:rFonts w:ascii="Century Gothic" w:hAnsi="Century Gothic" w:cs="Times New Roman"/>
          <w:sz w:val="20"/>
          <w:szCs w:val="20"/>
          <w:lang w:eastAsia="es-ES_tradnl"/>
        </w:rPr>
      </w:pPr>
      <w:r>
        <w:rPr>
          <w:noProof/>
          <w:lang w:eastAsia="es-EC"/>
        </w:rPr>
        <w:drawing>
          <wp:inline distT="0" distB="0" distL="0" distR="0" wp14:anchorId="3244BC06" wp14:editId="29B562E9">
            <wp:extent cx="2473325" cy="1693628"/>
            <wp:effectExtent l="0" t="0" r="3175" b="1905"/>
            <wp:docPr id="18" name="Gráfico 18">
              <a:extLst xmlns:a="http://schemas.openxmlformats.org/drawingml/2006/main">
                <a:ext uri="{FF2B5EF4-FFF2-40B4-BE49-F238E27FC236}">
                  <a16:creationId xmlns:a16="http://schemas.microsoft.com/office/drawing/2014/main" id="{00000000-0008-0000-14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EA6F576" w14:textId="77777777" w:rsidR="00646F55" w:rsidRPr="00646F55" w:rsidRDefault="00646F55" w:rsidP="00646F55">
      <w:pPr>
        <w:jc w:val="both"/>
        <w:rPr>
          <w:rFonts w:ascii="Century Gothic" w:hAnsi="Century Gothic" w:cs="Calibri"/>
          <w:b/>
          <w:color w:val="404040" w:themeColor="text1" w:themeTint="BF"/>
          <w:sz w:val="14"/>
          <w:szCs w:val="14"/>
        </w:rPr>
      </w:pPr>
    </w:p>
    <w:p w14:paraId="6623A5E1" w14:textId="6DC02A52"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Fuente:</w:t>
      </w:r>
      <w:r w:rsidRPr="00646F55">
        <w:rPr>
          <w:rFonts w:ascii="Century Gothic" w:hAnsi="Century Gothic" w:cs="Calibri"/>
          <w:color w:val="404040" w:themeColor="text1" w:themeTint="BF"/>
          <w:sz w:val="14"/>
          <w:szCs w:val="14"/>
        </w:rPr>
        <w:t xml:space="preserve"> Módulo Ambiental </w:t>
      </w:r>
      <w:r w:rsidR="00E82712">
        <w:rPr>
          <w:rFonts w:ascii="Century Gothic" w:hAnsi="Century Gothic" w:cs="Calibri"/>
          <w:color w:val="404040" w:themeColor="text1" w:themeTint="BF"/>
          <w:sz w:val="14"/>
          <w:szCs w:val="14"/>
        </w:rPr>
        <w:t xml:space="preserve">Económica </w:t>
      </w:r>
      <w:r w:rsidRPr="00646F55">
        <w:rPr>
          <w:rFonts w:ascii="Century Gothic" w:hAnsi="Century Gothic" w:cs="Calibri"/>
          <w:color w:val="404040" w:themeColor="text1" w:themeTint="BF"/>
          <w:sz w:val="14"/>
          <w:szCs w:val="14"/>
        </w:rPr>
        <w:t xml:space="preserve">ENESEM </w:t>
      </w:r>
      <w:r w:rsidR="003540AD">
        <w:rPr>
          <w:rFonts w:ascii="Century Gothic" w:hAnsi="Century Gothic" w:cs="Calibri"/>
          <w:color w:val="404040" w:themeColor="text1" w:themeTint="BF"/>
          <w:sz w:val="14"/>
          <w:szCs w:val="14"/>
        </w:rPr>
        <w:t>202</w:t>
      </w:r>
      <w:r w:rsidR="00B177F8">
        <w:rPr>
          <w:rFonts w:ascii="Century Gothic" w:hAnsi="Century Gothic" w:cs="Calibri"/>
          <w:color w:val="404040" w:themeColor="text1" w:themeTint="BF"/>
          <w:sz w:val="14"/>
          <w:szCs w:val="14"/>
        </w:rPr>
        <w:t>1</w:t>
      </w:r>
      <w:r w:rsidRPr="00646F55">
        <w:rPr>
          <w:rFonts w:ascii="Century Gothic" w:hAnsi="Century Gothic" w:cs="Calibri"/>
          <w:color w:val="404040" w:themeColor="text1" w:themeTint="BF"/>
          <w:sz w:val="14"/>
          <w:szCs w:val="14"/>
        </w:rPr>
        <w:t>.</w:t>
      </w:r>
    </w:p>
    <w:p w14:paraId="3E09A0A7" w14:textId="6F70AF7B" w:rsidR="00E94F8A" w:rsidRDefault="00E94F8A" w:rsidP="00E94F8A">
      <w:pPr>
        <w:jc w:val="both"/>
        <w:rPr>
          <w:rFonts w:ascii="Century Gothic" w:hAnsi="Century Gothic" w:cs="Times New Roman"/>
          <w:sz w:val="21"/>
          <w:szCs w:val="21"/>
          <w:lang w:val="es-ES_tradnl" w:eastAsia="es-ES_tradnl"/>
        </w:rPr>
      </w:pPr>
      <w:r w:rsidRPr="00705E01">
        <w:rPr>
          <w:rFonts w:ascii="Century Gothic" w:hAnsi="Century Gothic" w:cs="Times New Roman"/>
          <w:sz w:val="21"/>
          <w:szCs w:val="21"/>
          <w:lang w:val="es-ES_tradnl" w:eastAsia="es-ES_tradnl"/>
        </w:rPr>
        <w:t>En la Figura 1</w:t>
      </w:r>
      <w:r w:rsidR="003C7978">
        <w:rPr>
          <w:rFonts w:ascii="Century Gothic" w:hAnsi="Century Gothic" w:cs="Times New Roman"/>
          <w:sz w:val="21"/>
          <w:szCs w:val="21"/>
          <w:lang w:val="es-ES_tradnl" w:eastAsia="es-ES_tradnl"/>
        </w:rPr>
        <w:t>0</w:t>
      </w:r>
      <w:r w:rsidRPr="00705E01">
        <w:rPr>
          <w:rFonts w:ascii="Century Gothic" w:hAnsi="Century Gothic" w:cs="Times New Roman"/>
          <w:sz w:val="21"/>
          <w:szCs w:val="21"/>
          <w:lang w:val="es-ES_tradnl" w:eastAsia="es-ES_tradnl"/>
        </w:rPr>
        <w:t xml:space="preserve"> se muestra la distribución de empresas que trataron sus aguas residuales, por actividad económica.</w:t>
      </w:r>
      <w:r w:rsidR="003C7978">
        <w:rPr>
          <w:rFonts w:ascii="Century Gothic" w:hAnsi="Century Gothic" w:cs="Times New Roman"/>
          <w:sz w:val="21"/>
          <w:szCs w:val="21"/>
          <w:lang w:val="es-ES_tradnl" w:eastAsia="es-ES_tradnl"/>
        </w:rPr>
        <w:t xml:space="preserve"> Con mucho, la actividad con la mayor proporción de empresas que tratan sus aguas residuales es</w:t>
      </w:r>
      <w:r w:rsidR="00BF6A56">
        <w:rPr>
          <w:rFonts w:ascii="Century Gothic" w:hAnsi="Century Gothic" w:cs="Times New Roman"/>
          <w:sz w:val="21"/>
          <w:szCs w:val="21"/>
          <w:lang w:val="es-ES_tradnl" w:eastAsia="es-ES_tradnl"/>
        </w:rPr>
        <w:t xml:space="preserve"> </w:t>
      </w:r>
      <w:r w:rsidR="00BF6A56">
        <w:rPr>
          <w:rFonts w:ascii="Century Gothic" w:hAnsi="Century Gothic" w:cs="Times New Roman"/>
          <w:i/>
          <w:iCs/>
          <w:sz w:val="21"/>
          <w:szCs w:val="21"/>
          <w:lang w:val="es-ES_tradnl" w:eastAsia="es-ES_tradnl"/>
        </w:rPr>
        <w:t>Industria m</w:t>
      </w:r>
      <w:r w:rsidR="00BF6A56" w:rsidRPr="00BF6A56">
        <w:rPr>
          <w:rFonts w:ascii="Century Gothic" w:hAnsi="Century Gothic" w:cs="Times New Roman"/>
          <w:i/>
          <w:iCs/>
          <w:sz w:val="21"/>
          <w:szCs w:val="21"/>
          <w:lang w:val="es-ES_tradnl" w:eastAsia="es-ES_tradnl"/>
        </w:rPr>
        <w:t>anufactur</w:t>
      </w:r>
      <w:r w:rsidR="00BF6A56">
        <w:rPr>
          <w:rFonts w:ascii="Century Gothic" w:hAnsi="Century Gothic" w:cs="Times New Roman"/>
          <w:i/>
          <w:iCs/>
          <w:sz w:val="21"/>
          <w:szCs w:val="21"/>
          <w:lang w:val="es-ES_tradnl" w:eastAsia="es-ES_tradnl"/>
        </w:rPr>
        <w:t>er</w:t>
      </w:r>
      <w:r w:rsidR="00BF6A56" w:rsidRPr="00BF6A56">
        <w:rPr>
          <w:rFonts w:ascii="Century Gothic" w:hAnsi="Century Gothic" w:cs="Times New Roman"/>
          <w:i/>
          <w:iCs/>
          <w:sz w:val="21"/>
          <w:szCs w:val="21"/>
          <w:lang w:val="es-ES_tradnl" w:eastAsia="es-ES_tradnl"/>
        </w:rPr>
        <w:t>a</w:t>
      </w:r>
      <w:r w:rsidR="00BF6A56">
        <w:rPr>
          <w:rFonts w:ascii="Century Gothic" w:hAnsi="Century Gothic" w:cs="Times New Roman"/>
          <w:sz w:val="21"/>
          <w:szCs w:val="21"/>
          <w:lang w:val="es-ES_tradnl" w:eastAsia="es-ES_tradnl"/>
        </w:rPr>
        <w:t>, una de las razones por la cual cae en el escalafón de Impacto Ambiental desde el puesto 2 (año 2020) al puesto 5</w:t>
      </w:r>
      <w:r w:rsidR="003C7978">
        <w:rPr>
          <w:rFonts w:ascii="Century Gothic" w:hAnsi="Century Gothic" w:cs="Times New Roman"/>
          <w:sz w:val="21"/>
          <w:szCs w:val="21"/>
          <w:lang w:val="es-ES_tradnl" w:eastAsia="es-ES_tradnl"/>
        </w:rPr>
        <w:t xml:space="preserve"> </w:t>
      </w:r>
      <w:r w:rsidR="00BF6A56">
        <w:rPr>
          <w:rFonts w:ascii="Century Gothic" w:hAnsi="Century Gothic" w:cs="Times New Roman"/>
          <w:sz w:val="21"/>
          <w:szCs w:val="21"/>
          <w:lang w:val="es-ES_tradnl" w:eastAsia="es-ES_tradnl"/>
        </w:rPr>
        <w:t>(año 2021).</w:t>
      </w:r>
    </w:p>
    <w:p w14:paraId="3B90D35E" w14:textId="77777777" w:rsidR="00E94F8A" w:rsidRDefault="00E94F8A" w:rsidP="00646F55">
      <w:pPr>
        <w:jc w:val="both"/>
        <w:rPr>
          <w:rFonts w:ascii="Century Gothic" w:hAnsi="Century Gothic" w:cs="Times New Roman"/>
          <w:sz w:val="21"/>
          <w:szCs w:val="21"/>
          <w:lang w:val="es-ES_tradnl" w:eastAsia="es-ES_tradnl"/>
        </w:rPr>
      </w:pPr>
    </w:p>
    <w:p w14:paraId="02DFB3C0" w14:textId="048A0186" w:rsidR="00646F55" w:rsidRPr="002B53F8" w:rsidRDefault="00260F72" w:rsidP="00646F55">
      <w:pPr>
        <w:jc w:val="both"/>
        <w:rPr>
          <w:rFonts w:ascii="Century Gothic" w:hAnsi="Century Gothic" w:cs="Times New Roman"/>
          <w:sz w:val="21"/>
          <w:szCs w:val="21"/>
          <w:lang w:val="es-ES_tradnl" w:eastAsia="es-ES_tradnl"/>
        </w:rPr>
      </w:pPr>
      <w:r w:rsidRPr="00E050A8">
        <w:rPr>
          <w:rFonts w:ascii="Century Gothic" w:hAnsi="Century Gothic" w:cs="Times New Roman"/>
          <w:sz w:val="21"/>
          <w:szCs w:val="21"/>
          <w:lang w:val="es-ES_tradnl" w:eastAsia="es-ES_tradnl"/>
        </w:rPr>
        <w:t>En referencia</w:t>
      </w:r>
      <w:r w:rsidR="009F581E" w:rsidRPr="00E050A8">
        <w:rPr>
          <w:rFonts w:ascii="Century Gothic" w:hAnsi="Century Gothic" w:cs="Times New Roman"/>
          <w:sz w:val="21"/>
          <w:szCs w:val="21"/>
          <w:lang w:val="es-ES_tradnl" w:eastAsia="es-ES_tradnl"/>
        </w:rPr>
        <w:t xml:space="preserve"> al tratamiento de las aguas residuales de</w:t>
      </w:r>
      <w:r w:rsidR="00646F55" w:rsidRPr="00E050A8">
        <w:rPr>
          <w:rFonts w:ascii="Century Gothic" w:hAnsi="Century Gothic" w:cs="Times New Roman"/>
          <w:sz w:val="21"/>
          <w:szCs w:val="21"/>
          <w:lang w:val="es-ES_tradnl" w:eastAsia="es-ES_tradnl"/>
        </w:rPr>
        <w:t xml:space="preserve"> las empresas</w:t>
      </w:r>
      <w:r w:rsidR="009F581E" w:rsidRPr="00E050A8">
        <w:rPr>
          <w:rFonts w:ascii="Century Gothic" w:hAnsi="Century Gothic" w:cs="Times New Roman"/>
          <w:sz w:val="21"/>
          <w:szCs w:val="21"/>
          <w:lang w:val="es-ES_tradnl" w:eastAsia="es-ES_tradnl"/>
        </w:rPr>
        <w:t xml:space="preserve">, </w:t>
      </w:r>
      <w:r w:rsidRPr="00E050A8">
        <w:rPr>
          <w:rFonts w:ascii="Century Gothic" w:hAnsi="Century Gothic" w:cs="Times New Roman"/>
          <w:sz w:val="21"/>
          <w:szCs w:val="21"/>
          <w:lang w:val="es-ES_tradnl" w:eastAsia="es-ES_tradnl"/>
        </w:rPr>
        <w:t xml:space="preserve">cabe decir que </w:t>
      </w:r>
      <w:r w:rsidR="009F581E" w:rsidRPr="00E050A8">
        <w:rPr>
          <w:rFonts w:ascii="Century Gothic" w:hAnsi="Century Gothic" w:cs="Times New Roman"/>
          <w:sz w:val="21"/>
          <w:szCs w:val="21"/>
          <w:lang w:val="es-ES_tradnl" w:eastAsia="es-ES_tradnl"/>
        </w:rPr>
        <w:t>se</w:t>
      </w:r>
      <w:r w:rsidR="00646F55" w:rsidRPr="00E050A8">
        <w:rPr>
          <w:rFonts w:ascii="Century Gothic" w:hAnsi="Century Gothic" w:cs="Times New Roman"/>
          <w:sz w:val="21"/>
          <w:szCs w:val="21"/>
          <w:lang w:val="es-ES_tradnl" w:eastAsia="es-ES_tradnl"/>
        </w:rPr>
        <w:t xml:space="preserve"> aplican </w:t>
      </w:r>
      <w:r w:rsidR="009F581E" w:rsidRPr="00E050A8">
        <w:rPr>
          <w:rFonts w:ascii="Century Gothic" w:hAnsi="Century Gothic" w:cs="Times New Roman"/>
          <w:sz w:val="21"/>
          <w:szCs w:val="21"/>
          <w:lang w:val="es-ES_tradnl" w:eastAsia="es-ES_tradnl"/>
        </w:rPr>
        <w:t>cuatro</w:t>
      </w:r>
      <w:r w:rsidR="00646F55" w:rsidRPr="00E050A8">
        <w:rPr>
          <w:rFonts w:ascii="Century Gothic" w:hAnsi="Century Gothic" w:cs="Times New Roman"/>
          <w:sz w:val="21"/>
          <w:szCs w:val="21"/>
          <w:lang w:val="es-ES_tradnl" w:eastAsia="es-ES_tradnl"/>
        </w:rPr>
        <w:t xml:space="preserve"> tipos de </w:t>
      </w:r>
      <w:r w:rsidR="009F581E" w:rsidRPr="00E050A8">
        <w:rPr>
          <w:rFonts w:ascii="Century Gothic" w:hAnsi="Century Gothic" w:cs="Times New Roman"/>
          <w:sz w:val="21"/>
          <w:szCs w:val="21"/>
          <w:lang w:val="es-ES_tradnl" w:eastAsia="es-ES_tradnl"/>
        </w:rPr>
        <w:t>tratamiento estándar</w:t>
      </w:r>
      <w:r w:rsidR="00646F55" w:rsidRPr="00E050A8">
        <w:rPr>
          <w:rFonts w:ascii="Century Gothic" w:hAnsi="Century Gothic" w:cs="Times New Roman"/>
          <w:sz w:val="21"/>
          <w:szCs w:val="21"/>
          <w:lang w:val="es-ES_tradnl" w:eastAsia="es-ES_tradnl"/>
        </w:rPr>
        <w:t>. En la Figura 1</w:t>
      </w:r>
      <w:r w:rsidRPr="00E050A8">
        <w:rPr>
          <w:rFonts w:ascii="Century Gothic" w:hAnsi="Century Gothic" w:cs="Times New Roman"/>
          <w:sz w:val="21"/>
          <w:szCs w:val="21"/>
          <w:lang w:val="es-ES_tradnl" w:eastAsia="es-ES_tradnl"/>
        </w:rPr>
        <w:t>1</w:t>
      </w:r>
      <w:r w:rsidR="00646F55" w:rsidRPr="00E050A8">
        <w:rPr>
          <w:rFonts w:ascii="Century Gothic" w:hAnsi="Century Gothic" w:cs="Times New Roman"/>
          <w:sz w:val="21"/>
          <w:szCs w:val="21"/>
          <w:lang w:val="es-ES_tradnl" w:eastAsia="es-ES_tradnl"/>
        </w:rPr>
        <w:t xml:space="preserve"> se </w:t>
      </w:r>
      <w:r w:rsidR="00625292" w:rsidRPr="00E050A8">
        <w:rPr>
          <w:rFonts w:ascii="Century Gothic" w:hAnsi="Century Gothic" w:cs="Times New Roman"/>
          <w:sz w:val="21"/>
          <w:szCs w:val="21"/>
          <w:lang w:val="es-ES_tradnl" w:eastAsia="es-ES_tradnl"/>
        </w:rPr>
        <w:t xml:space="preserve">muestra el porcentaje </w:t>
      </w:r>
      <w:r w:rsidR="00646F55" w:rsidRPr="00E050A8">
        <w:rPr>
          <w:rFonts w:ascii="Century Gothic" w:hAnsi="Century Gothic" w:cs="Times New Roman"/>
          <w:sz w:val="21"/>
          <w:szCs w:val="21"/>
          <w:lang w:val="es-ES_tradnl" w:eastAsia="es-ES_tradnl"/>
        </w:rPr>
        <w:t>de</w:t>
      </w:r>
      <w:r w:rsidR="00625292" w:rsidRPr="00E050A8">
        <w:rPr>
          <w:rFonts w:ascii="Century Gothic" w:hAnsi="Century Gothic" w:cs="Times New Roman"/>
          <w:sz w:val="21"/>
          <w:szCs w:val="21"/>
          <w:lang w:val="es-ES_tradnl" w:eastAsia="es-ES_tradnl"/>
        </w:rPr>
        <w:t xml:space="preserve"> empresas que aplicaron</w:t>
      </w:r>
      <w:r w:rsidR="00A61110" w:rsidRPr="00E050A8">
        <w:rPr>
          <w:rFonts w:ascii="Century Gothic" w:hAnsi="Century Gothic" w:cs="Times New Roman"/>
          <w:sz w:val="21"/>
          <w:szCs w:val="21"/>
          <w:lang w:val="es-ES_tradnl" w:eastAsia="es-ES_tradnl"/>
        </w:rPr>
        <w:t xml:space="preserve"> los tipos específicos de procesos de</w:t>
      </w:r>
      <w:r w:rsidR="00646F55" w:rsidRPr="00E050A8">
        <w:rPr>
          <w:rFonts w:ascii="Century Gothic" w:hAnsi="Century Gothic" w:cs="Times New Roman"/>
          <w:sz w:val="21"/>
          <w:szCs w:val="21"/>
          <w:lang w:val="es-ES_tradnl" w:eastAsia="es-ES_tradnl"/>
        </w:rPr>
        <w:t xml:space="preserve"> tratamiento de aguas residuales.</w:t>
      </w:r>
    </w:p>
    <w:p w14:paraId="5AFF8A44" w14:textId="77777777" w:rsidR="00646F55" w:rsidRPr="00646F55" w:rsidRDefault="00646F55" w:rsidP="00646F55">
      <w:pPr>
        <w:jc w:val="both"/>
        <w:rPr>
          <w:rFonts w:ascii="Century Gothic" w:hAnsi="Century Gothic" w:cs="Times New Roman"/>
          <w:sz w:val="20"/>
          <w:szCs w:val="20"/>
          <w:lang w:val="es-ES_tradnl" w:eastAsia="es-ES_tradnl"/>
        </w:rPr>
      </w:pPr>
    </w:p>
    <w:p w14:paraId="18683CEA" w14:textId="2841CCE3" w:rsidR="00646F55" w:rsidRPr="00646F55" w:rsidRDefault="00646F55" w:rsidP="00646F55">
      <w:pPr>
        <w:pStyle w:val="Descripcin"/>
        <w:keepNext/>
        <w:jc w:val="both"/>
        <w:rPr>
          <w:i w:val="0"/>
        </w:rPr>
      </w:pPr>
      <w:bookmarkStart w:id="23" w:name="_Toc132722364"/>
      <w:r w:rsidRPr="00705E01">
        <w:rPr>
          <w:b/>
          <w:bCs/>
          <w:i w:val="0"/>
          <w:color w:val="auto"/>
          <w:sz w:val="16"/>
        </w:rPr>
        <w:t xml:space="preserve">Figura </w:t>
      </w:r>
      <w:r w:rsidRPr="00705E01">
        <w:rPr>
          <w:b/>
          <w:bCs/>
          <w:i w:val="0"/>
          <w:color w:val="auto"/>
          <w:sz w:val="16"/>
        </w:rPr>
        <w:fldChar w:fldCharType="begin"/>
      </w:r>
      <w:r w:rsidRPr="00705E01">
        <w:rPr>
          <w:b/>
          <w:bCs/>
          <w:i w:val="0"/>
          <w:color w:val="auto"/>
          <w:sz w:val="16"/>
        </w:rPr>
        <w:instrText xml:space="preserve"> SEQ Figura \* ARABIC </w:instrText>
      </w:r>
      <w:r w:rsidRPr="00705E01">
        <w:rPr>
          <w:b/>
          <w:bCs/>
          <w:i w:val="0"/>
          <w:color w:val="auto"/>
          <w:sz w:val="16"/>
        </w:rPr>
        <w:fldChar w:fldCharType="separate"/>
      </w:r>
      <w:r w:rsidRPr="00705E01">
        <w:rPr>
          <w:b/>
          <w:bCs/>
          <w:i w:val="0"/>
          <w:noProof/>
          <w:color w:val="auto"/>
          <w:sz w:val="16"/>
        </w:rPr>
        <w:t>1</w:t>
      </w:r>
      <w:r w:rsidR="00260F72">
        <w:rPr>
          <w:b/>
          <w:bCs/>
          <w:i w:val="0"/>
          <w:noProof/>
          <w:color w:val="auto"/>
          <w:sz w:val="16"/>
        </w:rPr>
        <w:t>1</w:t>
      </w:r>
      <w:r w:rsidRPr="00705E01">
        <w:rPr>
          <w:b/>
          <w:bCs/>
          <w:i w:val="0"/>
          <w:color w:val="auto"/>
          <w:sz w:val="16"/>
        </w:rPr>
        <w:fldChar w:fldCharType="end"/>
      </w:r>
      <w:r w:rsidRPr="00705E01">
        <w:rPr>
          <w:b/>
          <w:bCs/>
          <w:i w:val="0"/>
          <w:color w:val="auto"/>
          <w:sz w:val="16"/>
        </w:rPr>
        <w:t>.</w:t>
      </w:r>
      <w:r w:rsidRPr="00705E01">
        <w:t xml:space="preserve"> </w:t>
      </w:r>
      <w:r w:rsidR="00184C96" w:rsidRPr="00705E01">
        <w:rPr>
          <w:rFonts w:cs="Calibri"/>
          <w:i w:val="0"/>
          <w:color w:val="auto"/>
          <w:sz w:val="16"/>
        </w:rPr>
        <w:t>Empresa</w:t>
      </w:r>
      <w:r w:rsidRPr="00705E01">
        <w:rPr>
          <w:rFonts w:cs="Calibri"/>
          <w:i w:val="0"/>
          <w:color w:val="auto"/>
          <w:sz w:val="16"/>
        </w:rPr>
        <w:t>s</w:t>
      </w:r>
      <w:r w:rsidR="00184C96" w:rsidRPr="00705E01">
        <w:rPr>
          <w:rFonts w:cs="Calibri"/>
          <w:i w:val="0"/>
          <w:color w:val="auto"/>
          <w:sz w:val="16"/>
        </w:rPr>
        <w:t xml:space="preserve"> que trataron sus</w:t>
      </w:r>
      <w:r w:rsidRPr="00705E01">
        <w:rPr>
          <w:rFonts w:cs="Calibri"/>
          <w:i w:val="0"/>
          <w:color w:val="auto"/>
          <w:sz w:val="16"/>
        </w:rPr>
        <w:t xml:space="preserve"> aguas residuales (% del total</w:t>
      </w:r>
      <w:r w:rsidR="00184C96" w:rsidRPr="00705E01">
        <w:rPr>
          <w:rFonts w:cs="Calibri"/>
          <w:i w:val="0"/>
          <w:color w:val="auto"/>
          <w:sz w:val="16"/>
        </w:rPr>
        <w:t xml:space="preserve"> que tratan sus</w:t>
      </w:r>
      <w:r w:rsidRPr="00705E01">
        <w:rPr>
          <w:rFonts w:cs="Calibri"/>
          <w:i w:val="0"/>
          <w:color w:val="auto"/>
          <w:sz w:val="16"/>
        </w:rPr>
        <w:t xml:space="preserve"> aguas residuales), por tipo de tratamiento (</w:t>
      </w:r>
      <w:r w:rsidR="003540AD" w:rsidRPr="00705E01">
        <w:rPr>
          <w:rFonts w:cs="Calibri"/>
          <w:i w:val="0"/>
          <w:color w:val="auto"/>
          <w:sz w:val="16"/>
        </w:rPr>
        <w:t>202</w:t>
      </w:r>
      <w:r w:rsidR="00260F72">
        <w:rPr>
          <w:rFonts w:cs="Calibri"/>
          <w:i w:val="0"/>
          <w:color w:val="auto"/>
          <w:sz w:val="16"/>
        </w:rPr>
        <w:t>1</w:t>
      </w:r>
      <w:r w:rsidRPr="00705E01">
        <w:rPr>
          <w:rFonts w:cs="Calibri"/>
          <w:i w:val="0"/>
          <w:color w:val="auto"/>
          <w:sz w:val="16"/>
        </w:rPr>
        <w:t>).</w:t>
      </w:r>
      <w:bookmarkEnd w:id="23"/>
    </w:p>
    <w:p w14:paraId="71F59EF1" w14:textId="1CB6E742" w:rsidR="00646F55" w:rsidRPr="00646F55" w:rsidRDefault="005C47B8" w:rsidP="00646F55">
      <w:pPr>
        <w:jc w:val="both"/>
        <w:rPr>
          <w:rFonts w:ascii="Century Gothic" w:hAnsi="Century Gothic" w:cs="Calibri"/>
          <w:b/>
          <w:color w:val="404040" w:themeColor="text1" w:themeTint="BF"/>
          <w:sz w:val="14"/>
          <w:szCs w:val="14"/>
        </w:rPr>
      </w:pPr>
      <w:r>
        <w:rPr>
          <w:noProof/>
        </w:rPr>
        <w:drawing>
          <wp:inline distT="0" distB="0" distL="0" distR="0" wp14:anchorId="2FD2A273" wp14:editId="029762DD">
            <wp:extent cx="2473325" cy="1631290"/>
            <wp:effectExtent l="0" t="0" r="3175" b="7620"/>
            <wp:docPr id="9" name="Gráfico 9">
              <a:extLst xmlns:a="http://schemas.openxmlformats.org/drawingml/2006/main">
                <a:ext uri="{FF2B5EF4-FFF2-40B4-BE49-F238E27FC236}">
                  <a16:creationId xmlns:a16="http://schemas.microsoft.com/office/drawing/2014/main" id="{003E6D02-C81F-4A41-ABF7-6DEA1704A50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6DF7DC1" w14:textId="77777777" w:rsidR="00646F55" w:rsidRPr="00646F55" w:rsidRDefault="00646F55" w:rsidP="00646F55">
      <w:pPr>
        <w:jc w:val="both"/>
        <w:rPr>
          <w:rFonts w:ascii="Century Gothic" w:hAnsi="Century Gothic" w:cs="Calibri"/>
          <w:b/>
          <w:color w:val="404040" w:themeColor="text1" w:themeTint="BF"/>
          <w:sz w:val="14"/>
          <w:szCs w:val="14"/>
        </w:rPr>
      </w:pPr>
    </w:p>
    <w:p w14:paraId="76E85F34" w14:textId="4EA2E763"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Fuente:</w:t>
      </w:r>
      <w:r w:rsidRPr="00646F55">
        <w:rPr>
          <w:rFonts w:ascii="Century Gothic" w:hAnsi="Century Gothic" w:cs="Calibri"/>
          <w:color w:val="404040" w:themeColor="text1" w:themeTint="BF"/>
          <w:sz w:val="14"/>
          <w:szCs w:val="14"/>
        </w:rPr>
        <w:t xml:space="preserve"> Módulo Ambiental </w:t>
      </w:r>
      <w:r w:rsidR="00E82712">
        <w:rPr>
          <w:rFonts w:ascii="Century Gothic" w:hAnsi="Century Gothic" w:cs="Calibri"/>
          <w:color w:val="404040" w:themeColor="text1" w:themeTint="BF"/>
          <w:sz w:val="14"/>
          <w:szCs w:val="14"/>
        </w:rPr>
        <w:t xml:space="preserve">Económica </w:t>
      </w:r>
      <w:r w:rsidRPr="00646F55">
        <w:rPr>
          <w:rFonts w:ascii="Century Gothic" w:hAnsi="Century Gothic" w:cs="Calibri"/>
          <w:color w:val="404040" w:themeColor="text1" w:themeTint="BF"/>
          <w:sz w:val="14"/>
          <w:szCs w:val="14"/>
        </w:rPr>
        <w:t xml:space="preserve">ENESEM </w:t>
      </w:r>
      <w:r w:rsidR="003540AD">
        <w:rPr>
          <w:rFonts w:ascii="Century Gothic" w:hAnsi="Century Gothic" w:cs="Calibri"/>
          <w:color w:val="404040" w:themeColor="text1" w:themeTint="BF"/>
          <w:sz w:val="14"/>
          <w:szCs w:val="14"/>
        </w:rPr>
        <w:t>202</w:t>
      </w:r>
      <w:r w:rsidR="00B177F8">
        <w:rPr>
          <w:rFonts w:ascii="Century Gothic" w:hAnsi="Century Gothic" w:cs="Calibri"/>
          <w:color w:val="404040" w:themeColor="text1" w:themeTint="BF"/>
          <w:sz w:val="14"/>
          <w:szCs w:val="14"/>
        </w:rPr>
        <w:t>1</w:t>
      </w:r>
      <w:r w:rsidRPr="00646F55">
        <w:rPr>
          <w:rFonts w:ascii="Century Gothic" w:hAnsi="Century Gothic" w:cs="Calibri"/>
          <w:color w:val="404040" w:themeColor="text1" w:themeTint="BF"/>
          <w:sz w:val="14"/>
          <w:szCs w:val="14"/>
        </w:rPr>
        <w:t>.</w:t>
      </w:r>
    </w:p>
    <w:p w14:paraId="2D9C9F17" w14:textId="77777777" w:rsidR="0051600F" w:rsidRDefault="0051600F" w:rsidP="00646F55">
      <w:pPr>
        <w:jc w:val="both"/>
        <w:rPr>
          <w:rFonts w:ascii="Century Gothic" w:hAnsi="Century Gothic"/>
          <w:sz w:val="21"/>
          <w:szCs w:val="21"/>
        </w:rPr>
      </w:pPr>
    </w:p>
    <w:p w14:paraId="4B99451A" w14:textId="4D16E3E8" w:rsidR="00646F55" w:rsidRPr="00705E01" w:rsidRDefault="00184C96" w:rsidP="00646F55">
      <w:pPr>
        <w:jc w:val="both"/>
        <w:rPr>
          <w:rFonts w:ascii="Century Gothic" w:hAnsi="Century Gothic"/>
          <w:sz w:val="21"/>
          <w:szCs w:val="21"/>
        </w:rPr>
      </w:pPr>
      <w:r w:rsidRPr="00184C96">
        <w:rPr>
          <w:rStyle w:val="fontstyle01"/>
          <w:sz w:val="21"/>
          <w:szCs w:val="21"/>
        </w:rPr>
        <w:t>Es interesante notar que, del total de</w:t>
      </w:r>
      <w:r w:rsidRPr="00184C96">
        <w:rPr>
          <w:rFonts w:ascii="Century Gothic" w:hAnsi="Century Gothic"/>
          <w:color w:val="000000"/>
          <w:sz w:val="21"/>
          <w:szCs w:val="21"/>
        </w:rPr>
        <w:br/>
      </w:r>
      <w:r w:rsidRPr="00184C96">
        <w:rPr>
          <w:rStyle w:val="fontstyle01"/>
          <w:sz w:val="21"/>
          <w:szCs w:val="21"/>
        </w:rPr>
        <w:t>empresas que generan aguas</w:t>
      </w:r>
      <w:r w:rsidRPr="00184C96">
        <w:rPr>
          <w:rFonts w:ascii="Century Gothic" w:hAnsi="Century Gothic"/>
          <w:color w:val="000000"/>
          <w:sz w:val="21"/>
          <w:szCs w:val="21"/>
        </w:rPr>
        <w:br/>
      </w:r>
      <w:r w:rsidRPr="00184C96">
        <w:rPr>
          <w:rStyle w:val="fontstyle01"/>
          <w:sz w:val="21"/>
          <w:szCs w:val="21"/>
        </w:rPr>
        <w:t xml:space="preserve">residuales y las procesan, </w:t>
      </w:r>
      <w:r w:rsidR="005C47B8">
        <w:rPr>
          <w:rStyle w:val="fontstyle01"/>
          <w:sz w:val="21"/>
          <w:szCs w:val="21"/>
        </w:rPr>
        <w:t>68</w:t>
      </w:r>
      <w:r w:rsidR="00E82712">
        <w:rPr>
          <w:rStyle w:val="fontstyle01"/>
          <w:sz w:val="21"/>
          <w:szCs w:val="21"/>
        </w:rPr>
        <w:t>,</w:t>
      </w:r>
      <w:r w:rsidR="005C47B8">
        <w:rPr>
          <w:rStyle w:val="fontstyle01"/>
          <w:sz w:val="21"/>
          <w:szCs w:val="21"/>
        </w:rPr>
        <w:t>90</w:t>
      </w:r>
      <w:r w:rsidRPr="00184C96">
        <w:rPr>
          <w:rStyle w:val="fontstyle01"/>
          <w:sz w:val="21"/>
          <w:szCs w:val="21"/>
        </w:rPr>
        <w:t>% le</w:t>
      </w:r>
      <w:r w:rsidRPr="00184C96">
        <w:rPr>
          <w:rFonts w:ascii="Century Gothic" w:hAnsi="Century Gothic"/>
          <w:color w:val="000000"/>
          <w:sz w:val="21"/>
          <w:szCs w:val="21"/>
        </w:rPr>
        <w:br/>
      </w:r>
      <w:r w:rsidRPr="00184C96">
        <w:rPr>
          <w:rStyle w:val="fontstyle01"/>
          <w:sz w:val="21"/>
          <w:szCs w:val="21"/>
        </w:rPr>
        <w:t xml:space="preserve">dan tratamiento físico, </w:t>
      </w:r>
      <w:r w:rsidR="005C47B8">
        <w:rPr>
          <w:rStyle w:val="fontstyle01"/>
          <w:sz w:val="21"/>
          <w:szCs w:val="21"/>
        </w:rPr>
        <w:t>61</w:t>
      </w:r>
      <w:r w:rsidR="00E82712">
        <w:rPr>
          <w:rStyle w:val="fontstyle01"/>
          <w:sz w:val="21"/>
          <w:szCs w:val="21"/>
        </w:rPr>
        <w:t>,</w:t>
      </w:r>
      <w:r w:rsidR="005C47B8">
        <w:rPr>
          <w:rStyle w:val="fontstyle01"/>
          <w:sz w:val="21"/>
          <w:szCs w:val="21"/>
        </w:rPr>
        <w:t>90</w:t>
      </w:r>
      <w:r w:rsidRPr="00184C96">
        <w:rPr>
          <w:rStyle w:val="fontstyle01"/>
          <w:sz w:val="21"/>
          <w:szCs w:val="21"/>
        </w:rPr>
        <w:t>% le dan</w:t>
      </w:r>
      <w:r w:rsidRPr="00184C96">
        <w:rPr>
          <w:rFonts w:ascii="Century Gothic" w:hAnsi="Century Gothic"/>
          <w:color w:val="000000"/>
          <w:sz w:val="21"/>
          <w:szCs w:val="21"/>
        </w:rPr>
        <w:br/>
      </w:r>
      <w:r w:rsidRPr="00184C96">
        <w:rPr>
          <w:rStyle w:val="fontstyle01"/>
          <w:sz w:val="21"/>
          <w:szCs w:val="21"/>
        </w:rPr>
        <w:t xml:space="preserve">tratamiento químico y </w:t>
      </w:r>
      <w:r w:rsidR="00E03004">
        <w:rPr>
          <w:rStyle w:val="fontstyle01"/>
          <w:sz w:val="21"/>
          <w:szCs w:val="21"/>
        </w:rPr>
        <w:t>2</w:t>
      </w:r>
      <w:r w:rsidR="005C47B8">
        <w:rPr>
          <w:rStyle w:val="fontstyle01"/>
          <w:sz w:val="21"/>
          <w:szCs w:val="21"/>
        </w:rPr>
        <w:t>6</w:t>
      </w:r>
      <w:r w:rsidR="00E82712">
        <w:rPr>
          <w:rStyle w:val="fontstyle01"/>
          <w:sz w:val="21"/>
          <w:szCs w:val="21"/>
        </w:rPr>
        <w:t>,</w:t>
      </w:r>
      <w:r w:rsidR="005C47B8">
        <w:rPr>
          <w:rStyle w:val="fontstyle01"/>
          <w:sz w:val="21"/>
          <w:szCs w:val="21"/>
        </w:rPr>
        <w:t>7</w:t>
      </w:r>
      <w:r w:rsidR="00E03004">
        <w:rPr>
          <w:rStyle w:val="fontstyle01"/>
          <w:sz w:val="21"/>
          <w:szCs w:val="21"/>
        </w:rPr>
        <w:t>0</w:t>
      </w:r>
      <w:r w:rsidRPr="00184C96">
        <w:rPr>
          <w:rStyle w:val="fontstyle01"/>
          <w:sz w:val="21"/>
          <w:szCs w:val="21"/>
        </w:rPr>
        <w:t>% le dan</w:t>
      </w:r>
      <w:r w:rsidRPr="00184C96">
        <w:rPr>
          <w:rFonts w:ascii="Century Gothic" w:hAnsi="Century Gothic"/>
          <w:color w:val="000000"/>
          <w:sz w:val="21"/>
          <w:szCs w:val="21"/>
        </w:rPr>
        <w:br/>
      </w:r>
      <w:r w:rsidRPr="00184C96">
        <w:rPr>
          <w:rStyle w:val="fontstyle01"/>
          <w:sz w:val="21"/>
          <w:szCs w:val="21"/>
        </w:rPr>
        <w:t>tratamiento biológico. Lo ideal sería</w:t>
      </w:r>
      <w:r w:rsidRPr="00184C96">
        <w:rPr>
          <w:rFonts w:ascii="Century Gothic" w:hAnsi="Century Gothic"/>
          <w:color w:val="000000"/>
          <w:sz w:val="21"/>
          <w:szCs w:val="21"/>
        </w:rPr>
        <w:br/>
      </w:r>
      <w:r w:rsidRPr="00184C96">
        <w:rPr>
          <w:rStyle w:val="fontstyle01"/>
          <w:sz w:val="21"/>
          <w:szCs w:val="21"/>
        </w:rPr>
        <w:t>que todas las empresas apliquen a sus aguas residuales los tres niveles de tratamiento</w:t>
      </w:r>
      <w:r w:rsidR="00E03004">
        <w:rPr>
          <w:rStyle w:val="fontstyle01"/>
          <w:sz w:val="21"/>
          <w:szCs w:val="21"/>
        </w:rPr>
        <w:t xml:space="preserve"> </w:t>
      </w:r>
      <w:r w:rsidRPr="00184C96">
        <w:rPr>
          <w:rStyle w:val="fontstyle01"/>
          <w:sz w:val="21"/>
          <w:szCs w:val="21"/>
        </w:rPr>
        <w:t>–físico,</w:t>
      </w:r>
      <w:r w:rsidR="00E03004">
        <w:rPr>
          <w:rStyle w:val="fontstyle01"/>
          <w:sz w:val="21"/>
          <w:szCs w:val="21"/>
        </w:rPr>
        <w:t xml:space="preserve"> </w:t>
      </w:r>
      <w:r w:rsidRPr="00184C96">
        <w:rPr>
          <w:rStyle w:val="fontstyle01"/>
          <w:sz w:val="21"/>
          <w:szCs w:val="21"/>
        </w:rPr>
        <w:t>químico</w:t>
      </w:r>
      <w:r w:rsidR="00E03004">
        <w:rPr>
          <w:rStyle w:val="fontstyle01"/>
          <w:sz w:val="21"/>
          <w:szCs w:val="21"/>
        </w:rPr>
        <w:t xml:space="preserve"> </w:t>
      </w:r>
      <w:r w:rsidRPr="00184C96">
        <w:rPr>
          <w:rStyle w:val="fontstyle01"/>
          <w:sz w:val="21"/>
          <w:szCs w:val="21"/>
        </w:rPr>
        <w:t>y</w:t>
      </w:r>
      <w:r w:rsidRPr="00184C96">
        <w:rPr>
          <w:rFonts w:ascii="Century Gothic" w:hAnsi="Century Gothic"/>
          <w:color w:val="000000"/>
          <w:sz w:val="21"/>
          <w:szCs w:val="21"/>
        </w:rPr>
        <w:br/>
      </w:r>
      <w:r w:rsidRPr="00184C96">
        <w:rPr>
          <w:rStyle w:val="fontstyle01"/>
          <w:sz w:val="21"/>
          <w:szCs w:val="21"/>
        </w:rPr>
        <w:t>biológico-,</w:t>
      </w:r>
      <w:r w:rsidR="00E03004">
        <w:rPr>
          <w:rStyle w:val="fontstyle01"/>
          <w:sz w:val="21"/>
          <w:szCs w:val="21"/>
        </w:rPr>
        <w:t xml:space="preserve"> </w:t>
      </w:r>
      <w:r w:rsidRPr="00184C96">
        <w:rPr>
          <w:rStyle w:val="fontstyle01"/>
          <w:sz w:val="21"/>
          <w:szCs w:val="21"/>
        </w:rPr>
        <w:t>pues se entiende que antes de utilizar el agua para sus procesos productivos, ésta tenía características de pureza en un grado</w:t>
      </w:r>
      <w:r w:rsidR="00E03004">
        <w:rPr>
          <w:rStyle w:val="fontstyle01"/>
          <w:sz w:val="21"/>
          <w:szCs w:val="21"/>
        </w:rPr>
        <w:t xml:space="preserve"> </w:t>
      </w:r>
      <w:r w:rsidRPr="00705E01">
        <w:rPr>
          <w:rStyle w:val="fontstyle01"/>
          <w:sz w:val="21"/>
          <w:szCs w:val="21"/>
        </w:rPr>
        <w:t>al menos satisfactorio para los tres niveles antes mencionados. También es preocupante que del total de</w:t>
      </w:r>
      <w:r w:rsidRPr="00705E01">
        <w:rPr>
          <w:rFonts w:ascii="Century Gothic" w:hAnsi="Century Gothic"/>
          <w:color w:val="000000"/>
          <w:sz w:val="21"/>
          <w:szCs w:val="21"/>
        </w:rPr>
        <w:br/>
      </w:r>
      <w:r w:rsidRPr="00705E01">
        <w:rPr>
          <w:rStyle w:val="fontstyle01"/>
          <w:sz w:val="21"/>
          <w:szCs w:val="21"/>
        </w:rPr>
        <w:t>empresas que generan aguas</w:t>
      </w:r>
      <w:r w:rsidRPr="00705E01">
        <w:rPr>
          <w:rFonts w:ascii="Century Gothic" w:hAnsi="Century Gothic"/>
          <w:color w:val="000000"/>
          <w:sz w:val="21"/>
          <w:szCs w:val="21"/>
        </w:rPr>
        <w:br/>
      </w:r>
      <w:r w:rsidRPr="00705E01">
        <w:rPr>
          <w:rStyle w:val="fontstyle01"/>
          <w:sz w:val="21"/>
          <w:szCs w:val="21"/>
        </w:rPr>
        <w:lastRenderedPageBreak/>
        <w:t xml:space="preserve">residuales productivas, el </w:t>
      </w:r>
      <w:r w:rsidR="005C47B8">
        <w:rPr>
          <w:rStyle w:val="fontstyle01"/>
          <w:sz w:val="21"/>
          <w:szCs w:val="21"/>
        </w:rPr>
        <w:t>15</w:t>
      </w:r>
      <w:r w:rsidR="00E82712">
        <w:rPr>
          <w:rStyle w:val="fontstyle01"/>
          <w:sz w:val="21"/>
          <w:szCs w:val="21"/>
        </w:rPr>
        <w:t>,</w:t>
      </w:r>
      <w:r w:rsidR="005C47B8">
        <w:rPr>
          <w:rStyle w:val="fontstyle01"/>
          <w:sz w:val="21"/>
          <w:szCs w:val="21"/>
        </w:rPr>
        <w:t>60</w:t>
      </w:r>
      <w:r w:rsidRPr="00705E01">
        <w:rPr>
          <w:rStyle w:val="fontstyle01"/>
          <w:sz w:val="21"/>
          <w:szCs w:val="21"/>
        </w:rPr>
        <w:t>% no le dan ningún tipo de tratamiento.</w:t>
      </w:r>
    </w:p>
    <w:p w14:paraId="51FCCFFC" w14:textId="77777777" w:rsidR="00646F55" w:rsidRPr="00705E01" w:rsidRDefault="00646F55" w:rsidP="00646F55">
      <w:pPr>
        <w:jc w:val="both"/>
        <w:rPr>
          <w:rFonts w:ascii="Century Gothic" w:hAnsi="Century Gothic"/>
          <w:sz w:val="21"/>
          <w:szCs w:val="21"/>
        </w:rPr>
      </w:pPr>
    </w:p>
    <w:p w14:paraId="6AC3D2B5" w14:textId="40970323" w:rsidR="00646F55" w:rsidRPr="00705E01" w:rsidRDefault="00646F55" w:rsidP="00646F55">
      <w:pPr>
        <w:jc w:val="both"/>
        <w:rPr>
          <w:rFonts w:ascii="Century Gothic" w:hAnsi="Century Gothic"/>
          <w:sz w:val="21"/>
          <w:szCs w:val="21"/>
        </w:rPr>
      </w:pPr>
      <w:r w:rsidRPr="000314FF">
        <w:rPr>
          <w:rFonts w:ascii="Century Gothic" w:hAnsi="Century Gothic"/>
          <w:sz w:val="21"/>
          <w:szCs w:val="21"/>
        </w:rPr>
        <w:t>Por fortuna, el 99</w:t>
      </w:r>
      <w:r w:rsidR="00E82712" w:rsidRPr="000314FF">
        <w:rPr>
          <w:rFonts w:ascii="Century Gothic" w:hAnsi="Century Gothic"/>
          <w:sz w:val="21"/>
          <w:szCs w:val="21"/>
        </w:rPr>
        <w:t>,</w:t>
      </w:r>
      <w:r w:rsidR="00B90D09" w:rsidRPr="000314FF">
        <w:rPr>
          <w:rFonts w:ascii="Century Gothic" w:hAnsi="Century Gothic"/>
          <w:sz w:val="21"/>
          <w:szCs w:val="21"/>
        </w:rPr>
        <w:t>32</w:t>
      </w:r>
      <w:r w:rsidRPr="000314FF">
        <w:rPr>
          <w:rFonts w:ascii="Century Gothic" w:hAnsi="Century Gothic"/>
          <w:sz w:val="21"/>
          <w:szCs w:val="21"/>
        </w:rPr>
        <w:t>% del volumen total de aguas residuales productivas (</w:t>
      </w:r>
      <w:r w:rsidR="00B90D09" w:rsidRPr="000314FF">
        <w:rPr>
          <w:rFonts w:ascii="Century Gothic" w:hAnsi="Century Gothic"/>
          <w:sz w:val="21"/>
          <w:szCs w:val="21"/>
        </w:rPr>
        <w:t>718.827.866</w:t>
      </w:r>
      <w:r w:rsidRPr="000314FF">
        <w:rPr>
          <w:rFonts w:ascii="Century Gothic" w:hAnsi="Century Gothic"/>
          <w:sz w:val="21"/>
          <w:szCs w:val="21"/>
        </w:rPr>
        <w:t xml:space="preserve"> m</w:t>
      </w:r>
      <w:r w:rsidRPr="000314FF">
        <w:rPr>
          <w:rFonts w:ascii="Century Gothic" w:hAnsi="Century Gothic"/>
          <w:sz w:val="21"/>
          <w:szCs w:val="21"/>
          <w:vertAlign w:val="superscript"/>
        </w:rPr>
        <w:t>3</w:t>
      </w:r>
      <w:r w:rsidRPr="000314FF">
        <w:rPr>
          <w:rFonts w:ascii="Century Gothic" w:hAnsi="Century Gothic"/>
          <w:sz w:val="21"/>
          <w:szCs w:val="21"/>
        </w:rPr>
        <w:t xml:space="preserve"> de un total de </w:t>
      </w:r>
      <w:r w:rsidR="00B90D09" w:rsidRPr="000314FF">
        <w:rPr>
          <w:rFonts w:ascii="Century Gothic" w:hAnsi="Century Gothic"/>
          <w:sz w:val="21"/>
          <w:szCs w:val="21"/>
        </w:rPr>
        <w:t>723.757.282</w:t>
      </w:r>
      <w:r w:rsidRPr="000314FF">
        <w:rPr>
          <w:rFonts w:ascii="Century Gothic" w:hAnsi="Century Gothic"/>
          <w:sz w:val="21"/>
          <w:szCs w:val="21"/>
        </w:rPr>
        <w:t xml:space="preserve"> m</w:t>
      </w:r>
      <w:r w:rsidRPr="000314FF">
        <w:rPr>
          <w:rFonts w:ascii="Century Gothic" w:hAnsi="Century Gothic"/>
          <w:sz w:val="21"/>
          <w:szCs w:val="21"/>
          <w:vertAlign w:val="superscript"/>
        </w:rPr>
        <w:t>3</w:t>
      </w:r>
      <w:r w:rsidRPr="000314FF">
        <w:rPr>
          <w:rFonts w:ascii="Century Gothic" w:hAnsi="Century Gothic"/>
          <w:sz w:val="21"/>
          <w:szCs w:val="21"/>
        </w:rPr>
        <w:t xml:space="preserve">) son sometidas al menos algún tipo de tratamiento. La distribución de volúmenes de aguas residuales, según el tipo </w:t>
      </w:r>
      <w:r w:rsidR="002B53F8" w:rsidRPr="000314FF">
        <w:rPr>
          <w:rFonts w:ascii="Century Gothic" w:hAnsi="Century Gothic"/>
          <w:sz w:val="21"/>
          <w:szCs w:val="21"/>
        </w:rPr>
        <w:t xml:space="preserve">dado de tratamiento, se muestra en la </w:t>
      </w:r>
      <w:r w:rsidR="002B53F8" w:rsidRPr="000314FF">
        <w:rPr>
          <w:rFonts w:ascii="Century Gothic" w:hAnsi="Century Gothic"/>
          <w:sz w:val="20"/>
          <w:szCs w:val="21"/>
        </w:rPr>
        <w:t>Figura 1</w:t>
      </w:r>
      <w:r w:rsidR="00CD5E43" w:rsidRPr="000314FF">
        <w:rPr>
          <w:rFonts w:ascii="Century Gothic" w:hAnsi="Century Gothic"/>
          <w:sz w:val="20"/>
          <w:szCs w:val="21"/>
        </w:rPr>
        <w:t>2</w:t>
      </w:r>
      <w:r w:rsidRPr="000314FF">
        <w:rPr>
          <w:rFonts w:ascii="Century Gothic" w:hAnsi="Century Gothic"/>
          <w:sz w:val="21"/>
          <w:szCs w:val="21"/>
        </w:rPr>
        <w:t>.</w:t>
      </w:r>
    </w:p>
    <w:p w14:paraId="757753A0" w14:textId="77777777" w:rsidR="00646F55" w:rsidRPr="00705E01" w:rsidRDefault="00646F55" w:rsidP="00646F55">
      <w:pPr>
        <w:jc w:val="both"/>
        <w:rPr>
          <w:rFonts w:ascii="Century Gothic" w:hAnsi="Century Gothic"/>
          <w:sz w:val="21"/>
          <w:szCs w:val="21"/>
        </w:rPr>
      </w:pPr>
    </w:p>
    <w:p w14:paraId="7DD01436" w14:textId="6C5D20F3" w:rsidR="00646F55" w:rsidRPr="00646F55" w:rsidRDefault="00646F55" w:rsidP="00646F55">
      <w:pPr>
        <w:pStyle w:val="Descripcin"/>
        <w:keepNext/>
        <w:jc w:val="both"/>
        <w:rPr>
          <w:i w:val="0"/>
        </w:rPr>
      </w:pPr>
      <w:bookmarkStart w:id="24" w:name="_Toc132722365"/>
      <w:r w:rsidRPr="00705E01">
        <w:rPr>
          <w:b/>
          <w:bCs/>
          <w:i w:val="0"/>
          <w:color w:val="auto"/>
          <w:sz w:val="16"/>
        </w:rPr>
        <w:t xml:space="preserve">Figura </w:t>
      </w:r>
      <w:r w:rsidRPr="00705E01">
        <w:rPr>
          <w:b/>
          <w:bCs/>
          <w:i w:val="0"/>
          <w:color w:val="auto"/>
          <w:sz w:val="16"/>
        </w:rPr>
        <w:fldChar w:fldCharType="begin"/>
      </w:r>
      <w:r w:rsidRPr="00705E01">
        <w:rPr>
          <w:b/>
          <w:bCs/>
          <w:i w:val="0"/>
          <w:color w:val="auto"/>
          <w:sz w:val="16"/>
        </w:rPr>
        <w:instrText xml:space="preserve"> SEQ Figura \* ARABIC </w:instrText>
      </w:r>
      <w:r w:rsidRPr="00705E01">
        <w:rPr>
          <w:b/>
          <w:bCs/>
          <w:i w:val="0"/>
          <w:color w:val="auto"/>
          <w:sz w:val="16"/>
        </w:rPr>
        <w:fldChar w:fldCharType="separate"/>
      </w:r>
      <w:r w:rsidRPr="00705E01">
        <w:rPr>
          <w:b/>
          <w:bCs/>
          <w:i w:val="0"/>
          <w:color w:val="auto"/>
          <w:sz w:val="16"/>
        </w:rPr>
        <w:t>1</w:t>
      </w:r>
      <w:r w:rsidR="00B90D09">
        <w:rPr>
          <w:b/>
          <w:bCs/>
          <w:i w:val="0"/>
          <w:color w:val="auto"/>
          <w:sz w:val="16"/>
        </w:rPr>
        <w:t>2</w:t>
      </w:r>
      <w:r w:rsidRPr="00705E01">
        <w:rPr>
          <w:b/>
          <w:bCs/>
          <w:i w:val="0"/>
          <w:color w:val="auto"/>
          <w:sz w:val="16"/>
        </w:rPr>
        <w:fldChar w:fldCharType="end"/>
      </w:r>
      <w:r w:rsidRPr="00705E01">
        <w:rPr>
          <w:b/>
          <w:bCs/>
          <w:i w:val="0"/>
          <w:color w:val="auto"/>
          <w:sz w:val="16"/>
        </w:rPr>
        <w:t>.</w:t>
      </w:r>
      <w:r w:rsidRPr="00705E01">
        <w:t xml:space="preserve"> </w:t>
      </w:r>
      <w:r w:rsidRPr="00705E01">
        <w:rPr>
          <w:rFonts w:cs="Calibri"/>
          <w:i w:val="0"/>
          <w:color w:val="auto"/>
          <w:sz w:val="16"/>
        </w:rPr>
        <w:t>Porcentaje del volumen total de aguas tratadas (% del volumen de agua tratada), por tipo de tratamiento (</w:t>
      </w:r>
      <w:r w:rsidR="003540AD" w:rsidRPr="00705E01">
        <w:rPr>
          <w:rFonts w:cs="Calibri"/>
          <w:i w:val="0"/>
          <w:color w:val="auto"/>
          <w:sz w:val="16"/>
        </w:rPr>
        <w:t>202</w:t>
      </w:r>
      <w:r w:rsidR="00B90D09">
        <w:rPr>
          <w:rFonts w:cs="Calibri"/>
          <w:i w:val="0"/>
          <w:color w:val="auto"/>
          <w:sz w:val="16"/>
        </w:rPr>
        <w:t>1</w:t>
      </w:r>
      <w:r w:rsidRPr="00705E01">
        <w:rPr>
          <w:rFonts w:cs="Calibri"/>
          <w:i w:val="0"/>
          <w:color w:val="auto"/>
          <w:sz w:val="16"/>
        </w:rPr>
        <w:t>).</w:t>
      </w:r>
      <w:bookmarkEnd w:id="24"/>
    </w:p>
    <w:p w14:paraId="32A45BD2" w14:textId="0321C186" w:rsidR="00646F55" w:rsidRPr="00646F55" w:rsidRDefault="0054366A" w:rsidP="00646F55">
      <w:pPr>
        <w:rPr>
          <w:rFonts w:ascii="Century Gothic" w:hAnsi="Century Gothic"/>
        </w:rPr>
      </w:pPr>
      <w:r>
        <w:rPr>
          <w:noProof/>
        </w:rPr>
        <w:drawing>
          <wp:inline distT="0" distB="0" distL="0" distR="0" wp14:anchorId="4109D3B3" wp14:editId="1FA2D1BF">
            <wp:extent cx="2473325" cy="1631315"/>
            <wp:effectExtent l="0" t="0" r="3175" b="6985"/>
            <wp:docPr id="10" name="Gráfico 10">
              <a:extLst xmlns:a="http://schemas.openxmlformats.org/drawingml/2006/main">
                <a:ext uri="{FF2B5EF4-FFF2-40B4-BE49-F238E27FC236}">
                  <a16:creationId xmlns:a16="http://schemas.microsoft.com/office/drawing/2014/main" id="{6CE0C845-9770-4CB5-BB0C-B71D2B632C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6635909" w14:textId="77777777" w:rsidR="00646F55" w:rsidRPr="00646F55" w:rsidRDefault="00646F55" w:rsidP="00646F55">
      <w:pPr>
        <w:jc w:val="both"/>
        <w:rPr>
          <w:rFonts w:ascii="Century Gothic" w:hAnsi="Century Gothic" w:cs="Calibri"/>
          <w:b/>
          <w:color w:val="404040" w:themeColor="text1" w:themeTint="BF"/>
          <w:sz w:val="14"/>
          <w:szCs w:val="14"/>
        </w:rPr>
      </w:pPr>
    </w:p>
    <w:p w14:paraId="0C5B8EA1" w14:textId="3AD52AE2"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Fuente:</w:t>
      </w:r>
      <w:r w:rsidRPr="00646F55">
        <w:rPr>
          <w:rFonts w:ascii="Century Gothic" w:hAnsi="Century Gothic" w:cs="Calibri"/>
          <w:color w:val="404040" w:themeColor="text1" w:themeTint="BF"/>
          <w:sz w:val="14"/>
          <w:szCs w:val="14"/>
        </w:rPr>
        <w:t xml:space="preserve"> Módulo Ambiental </w:t>
      </w:r>
      <w:r w:rsidR="004C1042">
        <w:rPr>
          <w:rFonts w:ascii="Century Gothic" w:hAnsi="Century Gothic" w:cs="Calibri"/>
          <w:color w:val="404040" w:themeColor="text1" w:themeTint="BF"/>
          <w:sz w:val="14"/>
          <w:szCs w:val="14"/>
        </w:rPr>
        <w:t>Económica</w:t>
      </w:r>
      <w:r w:rsidR="00E82712">
        <w:rPr>
          <w:rFonts w:ascii="Century Gothic" w:hAnsi="Century Gothic" w:cs="Calibri"/>
          <w:color w:val="404040" w:themeColor="text1" w:themeTint="BF"/>
          <w:sz w:val="14"/>
          <w:szCs w:val="14"/>
        </w:rPr>
        <w:t xml:space="preserve"> </w:t>
      </w:r>
      <w:r w:rsidRPr="00646F55">
        <w:rPr>
          <w:rFonts w:ascii="Century Gothic" w:hAnsi="Century Gothic" w:cs="Calibri"/>
          <w:color w:val="404040" w:themeColor="text1" w:themeTint="BF"/>
          <w:sz w:val="14"/>
          <w:szCs w:val="14"/>
        </w:rPr>
        <w:t xml:space="preserve">ENESEM </w:t>
      </w:r>
      <w:r w:rsidR="003540AD">
        <w:rPr>
          <w:rFonts w:ascii="Century Gothic" w:hAnsi="Century Gothic" w:cs="Calibri"/>
          <w:color w:val="404040" w:themeColor="text1" w:themeTint="BF"/>
          <w:sz w:val="14"/>
          <w:szCs w:val="14"/>
        </w:rPr>
        <w:t>202</w:t>
      </w:r>
      <w:r w:rsidR="00B90D09">
        <w:rPr>
          <w:rFonts w:ascii="Century Gothic" w:hAnsi="Century Gothic" w:cs="Calibri"/>
          <w:color w:val="404040" w:themeColor="text1" w:themeTint="BF"/>
          <w:sz w:val="14"/>
          <w:szCs w:val="14"/>
        </w:rPr>
        <w:t>1</w:t>
      </w:r>
    </w:p>
    <w:p w14:paraId="2F7B8098" w14:textId="77777777" w:rsidR="00646F55" w:rsidRPr="006D0E28" w:rsidRDefault="00646F55" w:rsidP="00646F55">
      <w:pPr>
        <w:jc w:val="both"/>
        <w:rPr>
          <w:rFonts w:ascii="Century Gothic" w:hAnsi="Century Gothic"/>
          <w:sz w:val="20"/>
          <w:szCs w:val="21"/>
        </w:rPr>
      </w:pPr>
    </w:p>
    <w:p w14:paraId="30011359" w14:textId="15BAEA07" w:rsidR="00646F55" w:rsidRDefault="00AF6FB8" w:rsidP="00646F55">
      <w:pPr>
        <w:jc w:val="both"/>
        <w:rPr>
          <w:rFonts w:ascii="Century Gothic" w:hAnsi="Century Gothic" w:cs="Times New Roman"/>
          <w:sz w:val="21"/>
          <w:szCs w:val="21"/>
          <w:lang w:eastAsia="es-ES_tradnl"/>
        </w:rPr>
      </w:pPr>
      <w:r>
        <w:rPr>
          <w:rFonts w:ascii="Century Gothic" w:hAnsi="Century Gothic" w:cs="Times New Roman"/>
          <w:sz w:val="21"/>
          <w:szCs w:val="21"/>
          <w:lang w:eastAsia="es-ES_tradnl"/>
        </w:rPr>
        <w:t>En</w:t>
      </w:r>
      <w:r w:rsidR="00646F55" w:rsidRPr="002B53F8">
        <w:rPr>
          <w:rFonts w:ascii="Century Gothic" w:hAnsi="Century Gothic" w:cs="Times New Roman"/>
          <w:sz w:val="21"/>
          <w:szCs w:val="21"/>
          <w:lang w:eastAsia="es-ES_tradnl"/>
        </w:rPr>
        <w:t xml:space="preserve"> la Figura 1</w:t>
      </w:r>
      <w:r w:rsidR="0054366A">
        <w:rPr>
          <w:rFonts w:ascii="Century Gothic" w:hAnsi="Century Gothic" w:cs="Times New Roman"/>
          <w:sz w:val="21"/>
          <w:szCs w:val="21"/>
          <w:lang w:eastAsia="es-ES_tradnl"/>
        </w:rPr>
        <w:t>2</w:t>
      </w:r>
      <w:r>
        <w:rPr>
          <w:rFonts w:ascii="Century Gothic" w:hAnsi="Century Gothic" w:cs="Times New Roman"/>
          <w:sz w:val="21"/>
          <w:szCs w:val="21"/>
          <w:lang w:eastAsia="es-ES_tradnl"/>
        </w:rPr>
        <w:t xml:space="preserve"> se observa que </w:t>
      </w:r>
      <w:r w:rsidR="00646F55" w:rsidRPr="002B53F8">
        <w:rPr>
          <w:rFonts w:ascii="Century Gothic" w:hAnsi="Century Gothic" w:cs="Times New Roman"/>
          <w:sz w:val="21"/>
          <w:szCs w:val="21"/>
          <w:lang w:eastAsia="es-ES_tradnl"/>
        </w:rPr>
        <w:t xml:space="preserve">al </w:t>
      </w:r>
      <w:r>
        <w:rPr>
          <w:rFonts w:ascii="Century Gothic" w:hAnsi="Century Gothic" w:cs="Times New Roman"/>
          <w:sz w:val="21"/>
          <w:szCs w:val="21"/>
          <w:lang w:eastAsia="es-ES_tradnl"/>
        </w:rPr>
        <w:t>8</w:t>
      </w:r>
      <w:r w:rsidR="00F31283">
        <w:rPr>
          <w:rFonts w:ascii="Century Gothic" w:hAnsi="Century Gothic" w:cs="Times New Roman"/>
          <w:sz w:val="21"/>
          <w:szCs w:val="21"/>
          <w:lang w:eastAsia="es-ES_tradnl"/>
        </w:rPr>
        <w:t>0</w:t>
      </w:r>
      <w:r w:rsidR="00E82712">
        <w:rPr>
          <w:rFonts w:ascii="Century Gothic" w:hAnsi="Century Gothic" w:cs="Times New Roman"/>
          <w:sz w:val="21"/>
          <w:szCs w:val="21"/>
          <w:lang w:eastAsia="es-ES_tradnl"/>
        </w:rPr>
        <w:t>,</w:t>
      </w:r>
      <w:r w:rsidR="00F31283">
        <w:rPr>
          <w:rFonts w:ascii="Century Gothic" w:hAnsi="Century Gothic" w:cs="Times New Roman"/>
          <w:sz w:val="21"/>
          <w:szCs w:val="21"/>
          <w:lang w:eastAsia="es-ES_tradnl"/>
        </w:rPr>
        <w:t>57</w:t>
      </w:r>
      <w:r w:rsidR="00646F55" w:rsidRPr="002B53F8">
        <w:rPr>
          <w:rFonts w:ascii="Century Gothic" w:hAnsi="Century Gothic" w:cs="Times New Roman"/>
          <w:sz w:val="21"/>
          <w:szCs w:val="21"/>
          <w:lang w:eastAsia="es-ES_tradnl"/>
        </w:rPr>
        <w:t>% del volumen total de agua residual se le aplica el proceso</w:t>
      </w:r>
      <w:r>
        <w:rPr>
          <w:rFonts w:ascii="Century Gothic" w:hAnsi="Century Gothic" w:cs="Times New Roman"/>
          <w:sz w:val="21"/>
          <w:szCs w:val="21"/>
          <w:lang w:eastAsia="es-ES_tradnl"/>
        </w:rPr>
        <w:t xml:space="preserve"> </w:t>
      </w:r>
      <w:r w:rsidR="00646F55" w:rsidRPr="002B53F8">
        <w:rPr>
          <w:rFonts w:ascii="Century Gothic" w:hAnsi="Century Gothic" w:cs="Times New Roman"/>
          <w:sz w:val="21"/>
          <w:szCs w:val="21"/>
          <w:lang w:eastAsia="es-ES_tradnl"/>
        </w:rPr>
        <w:t xml:space="preserve">de </w:t>
      </w:r>
      <w:r w:rsidR="006D0E28">
        <w:rPr>
          <w:rFonts w:ascii="Century Gothic" w:hAnsi="Century Gothic" w:cs="Times New Roman"/>
          <w:sz w:val="21"/>
          <w:szCs w:val="21"/>
          <w:lang w:eastAsia="es-ES_tradnl"/>
        </w:rPr>
        <w:t>tratamiento</w:t>
      </w:r>
      <w:r>
        <w:rPr>
          <w:rFonts w:ascii="Century Gothic" w:hAnsi="Century Gothic" w:cs="Times New Roman"/>
          <w:sz w:val="21"/>
          <w:szCs w:val="21"/>
          <w:lang w:eastAsia="es-ES_tradnl"/>
        </w:rPr>
        <w:t xml:space="preserve"> </w:t>
      </w:r>
      <w:r w:rsidR="00F31283">
        <w:rPr>
          <w:rFonts w:ascii="Century Gothic" w:hAnsi="Century Gothic" w:cs="Times New Roman"/>
          <w:sz w:val="21"/>
          <w:szCs w:val="21"/>
          <w:lang w:eastAsia="es-ES_tradnl"/>
        </w:rPr>
        <w:t>quím</w:t>
      </w:r>
      <w:r>
        <w:rPr>
          <w:rFonts w:ascii="Century Gothic" w:hAnsi="Century Gothic" w:cs="Times New Roman"/>
          <w:sz w:val="21"/>
          <w:szCs w:val="21"/>
          <w:lang w:eastAsia="es-ES_tradnl"/>
        </w:rPr>
        <w:t>ico</w:t>
      </w:r>
      <w:r w:rsidR="00646F55" w:rsidRPr="002B53F8">
        <w:rPr>
          <w:rFonts w:ascii="Century Gothic" w:hAnsi="Century Gothic" w:cs="Times New Roman"/>
          <w:sz w:val="21"/>
          <w:szCs w:val="21"/>
          <w:lang w:eastAsia="es-ES_tradnl"/>
        </w:rPr>
        <w:t xml:space="preserve">, lo cual es </w:t>
      </w:r>
      <w:r w:rsidR="006D0E28">
        <w:rPr>
          <w:rFonts w:ascii="Century Gothic" w:hAnsi="Century Gothic" w:cs="Times New Roman"/>
          <w:sz w:val="21"/>
          <w:szCs w:val="21"/>
          <w:lang w:eastAsia="es-ES_tradnl"/>
        </w:rPr>
        <w:t>crucial</w:t>
      </w:r>
      <w:r w:rsidR="00646F55" w:rsidRPr="002B53F8">
        <w:rPr>
          <w:rFonts w:ascii="Century Gothic" w:hAnsi="Century Gothic" w:cs="Times New Roman"/>
          <w:sz w:val="21"/>
          <w:szCs w:val="21"/>
          <w:lang w:eastAsia="es-ES_tradnl"/>
        </w:rPr>
        <w:t xml:space="preserve"> ya que</w:t>
      </w:r>
      <w:r>
        <w:rPr>
          <w:rFonts w:ascii="Century Gothic" w:hAnsi="Century Gothic" w:cs="Times New Roman"/>
          <w:sz w:val="21"/>
          <w:szCs w:val="21"/>
          <w:lang w:eastAsia="es-ES_tradnl"/>
        </w:rPr>
        <w:t>, a la postr</w:t>
      </w:r>
      <w:r w:rsidR="00646F55" w:rsidRPr="002B53F8">
        <w:rPr>
          <w:rFonts w:ascii="Century Gothic" w:hAnsi="Century Gothic" w:cs="Times New Roman"/>
          <w:sz w:val="21"/>
          <w:szCs w:val="21"/>
          <w:lang w:eastAsia="es-ES_tradnl"/>
        </w:rPr>
        <w:t>e</w:t>
      </w:r>
      <w:r>
        <w:rPr>
          <w:rFonts w:ascii="Century Gothic" w:hAnsi="Century Gothic" w:cs="Times New Roman"/>
          <w:sz w:val="21"/>
          <w:szCs w:val="21"/>
          <w:lang w:eastAsia="es-ES_tradnl"/>
        </w:rPr>
        <w:t>,</w:t>
      </w:r>
      <w:r w:rsidR="00646F55" w:rsidRPr="002B53F8">
        <w:rPr>
          <w:rFonts w:ascii="Century Gothic" w:hAnsi="Century Gothic" w:cs="Times New Roman"/>
          <w:sz w:val="21"/>
          <w:szCs w:val="21"/>
          <w:lang w:eastAsia="es-ES_tradnl"/>
        </w:rPr>
        <w:t xml:space="preserve"> </w:t>
      </w:r>
      <w:r>
        <w:rPr>
          <w:rFonts w:ascii="Century Gothic" w:hAnsi="Century Gothic" w:cs="Times New Roman"/>
          <w:sz w:val="21"/>
          <w:szCs w:val="21"/>
          <w:lang w:eastAsia="es-ES_tradnl"/>
        </w:rPr>
        <w:t>los</w:t>
      </w:r>
      <w:r w:rsidR="00646F55" w:rsidRPr="002B53F8">
        <w:rPr>
          <w:rFonts w:ascii="Century Gothic" w:hAnsi="Century Gothic" w:cs="Times New Roman"/>
          <w:sz w:val="21"/>
          <w:szCs w:val="21"/>
          <w:lang w:eastAsia="es-ES_tradnl"/>
        </w:rPr>
        <w:t xml:space="preserve"> </w:t>
      </w:r>
      <w:r w:rsidR="007E584D" w:rsidRPr="002B53F8">
        <w:rPr>
          <w:rFonts w:ascii="Century Gothic" w:hAnsi="Century Gothic" w:cs="Times New Roman"/>
          <w:sz w:val="21"/>
          <w:szCs w:val="21"/>
          <w:lang w:eastAsia="es-ES_tradnl"/>
        </w:rPr>
        <w:t>tratamientos</w:t>
      </w:r>
      <w:r w:rsidR="007E584D">
        <w:rPr>
          <w:rFonts w:ascii="Century Gothic" w:hAnsi="Century Gothic" w:cs="Times New Roman"/>
          <w:sz w:val="21"/>
          <w:szCs w:val="21"/>
          <w:lang w:eastAsia="es-ES_tradnl"/>
        </w:rPr>
        <w:t xml:space="preserve"> </w:t>
      </w:r>
      <w:r w:rsidR="007E584D" w:rsidRPr="002B53F8">
        <w:rPr>
          <w:rFonts w:ascii="Century Gothic" w:hAnsi="Century Gothic" w:cs="Times New Roman"/>
          <w:sz w:val="21"/>
          <w:szCs w:val="21"/>
          <w:lang w:eastAsia="es-ES_tradnl"/>
        </w:rPr>
        <w:t>primario</w:t>
      </w:r>
      <w:r w:rsidR="00AF1BCC">
        <w:rPr>
          <w:rFonts w:ascii="Century Gothic" w:hAnsi="Century Gothic" w:cs="Times New Roman"/>
          <w:sz w:val="21"/>
          <w:szCs w:val="21"/>
          <w:lang w:eastAsia="es-ES_tradnl"/>
        </w:rPr>
        <w:t xml:space="preserve"> </w:t>
      </w:r>
      <w:r w:rsidR="00646F55" w:rsidRPr="002B53F8">
        <w:rPr>
          <w:rFonts w:ascii="Century Gothic" w:hAnsi="Century Gothic" w:cs="Times New Roman"/>
          <w:sz w:val="21"/>
          <w:szCs w:val="21"/>
          <w:lang w:eastAsia="es-ES_tradnl"/>
        </w:rPr>
        <w:t xml:space="preserve">(físico) y </w:t>
      </w:r>
      <w:r w:rsidR="00F31283">
        <w:rPr>
          <w:rFonts w:ascii="Century Gothic" w:hAnsi="Century Gothic" w:cs="Times New Roman"/>
          <w:sz w:val="21"/>
          <w:szCs w:val="21"/>
          <w:lang w:eastAsia="es-ES_tradnl"/>
        </w:rPr>
        <w:t>biológ</w:t>
      </w:r>
      <w:r w:rsidR="00646F55" w:rsidRPr="002B53F8">
        <w:rPr>
          <w:rFonts w:ascii="Century Gothic" w:hAnsi="Century Gothic" w:cs="Times New Roman"/>
          <w:sz w:val="21"/>
          <w:szCs w:val="21"/>
          <w:lang w:eastAsia="es-ES_tradnl"/>
        </w:rPr>
        <w:t xml:space="preserve">ico pueden </w:t>
      </w:r>
      <w:r>
        <w:rPr>
          <w:rFonts w:ascii="Century Gothic" w:hAnsi="Century Gothic" w:cs="Times New Roman"/>
          <w:sz w:val="21"/>
          <w:szCs w:val="21"/>
          <w:lang w:eastAsia="es-ES_tradnl"/>
        </w:rPr>
        <w:t>aplic</w:t>
      </w:r>
      <w:r w:rsidR="00646F55" w:rsidRPr="002B53F8">
        <w:rPr>
          <w:rFonts w:ascii="Century Gothic" w:hAnsi="Century Gothic" w:cs="Times New Roman"/>
          <w:sz w:val="21"/>
          <w:szCs w:val="21"/>
          <w:lang w:eastAsia="es-ES_tradnl"/>
        </w:rPr>
        <w:t>arse en las plantas</w:t>
      </w:r>
      <w:r>
        <w:rPr>
          <w:rFonts w:ascii="Century Gothic" w:hAnsi="Century Gothic" w:cs="Times New Roman"/>
          <w:sz w:val="21"/>
          <w:szCs w:val="21"/>
          <w:lang w:eastAsia="es-ES_tradnl"/>
        </w:rPr>
        <w:t xml:space="preserve"> municipales</w:t>
      </w:r>
      <w:r w:rsidR="00646F55" w:rsidRPr="002B53F8">
        <w:rPr>
          <w:rFonts w:ascii="Century Gothic" w:hAnsi="Century Gothic" w:cs="Times New Roman"/>
          <w:sz w:val="21"/>
          <w:szCs w:val="21"/>
          <w:lang w:eastAsia="es-ES_tradnl"/>
        </w:rPr>
        <w:t xml:space="preserve"> de generación de agua potable</w:t>
      </w:r>
      <w:r>
        <w:rPr>
          <w:rFonts w:ascii="Century Gothic" w:hAnsi="Century Gothic" w:cs="Times New Roman"/>
          <w:sz w:val="21"/>
          <w:szCs w:val="21"/>
          <w:lang w:eastAsia="es-ES_tradnl"/>
        </w:rPr>
        <w:t>, cuando éstas captan aguas residuales como las descritas.</w:t>
      </w:r>
    </w:p>
    <w:p w14:paraId="52228A1C" w14:textId="77777777" w:rsidR="0005753B" w:rsidRPr="002B53F8" w:rsidRDefault="0005753B" w:rsidP="00646F55">
      <w:pPr>
        <w:jc w:val="both"/>
        <w:rPr>
          <w:rFonts w:ascii="Century Gothic" w:hAnsi="Century Gothic" w:cs="Times New Roman"/>
          <w:sz w:val="21"/>
          <w:szCs w:val="21"/>
          <w:lang w:eastAsia="es-ES_tradnl"/>
        </w:rPr>
      </w:pPr>
    </w:p>
    <w:p w14:paraId="345005CA" w14:textId="77777777" w:rsidR="00646F55" w:rsidRPr="00646F55" w:rsidRDefault="00646F55" w:rsidP="00646F55">
      <w:pPr>
        <w:jc w:val="both"/>
        <w:rPr>
          <w:rFonts w:ascii="Century Gothic" w:hAnsi="Century Gothic" w:cs="Times New Roman"/>
          <w:sz w:val="20"/>
          <w:szCs w:val="20"/>
          <w:lang w:eastAsia="es-ES_tradnl"/>
        </w:rPr>
      </w:pPr>
      <w:r w:rsidRPr="002B53F8">
        <w:rPr>
          <w:rFonts w:ascii="Century Gothic" w:hAnsi="Century Gothic" w:cs="Times New Roman"/>
          <w:sz w:val="21"/>
          <w:szCs w:val="21"/>
          <w:lang w:eastAsia="es-ES_tradnl"/>
        </w:rPr>
        <w:t>Habrá que pensar que todos los volúmenes de agua residual bajo cualquier modalidad de tratamiento han sido sometidos a alguna combinación de dos o más de estos procesos de tratamiento, y así enviar de regreso al ambiente las aguas residuales de los procesos productivos con los mejores estándares de calidad física, química y biológica.</w:t>
      </w:r>
    </w:p>
    <w:p w14:paraId="7CFAE2A8" w14:textId="77777777" w:rsidR="00646F55" w:rsidRPr="002B53F8" w:rsidRDefault="00646F55" w:rsidP="00646F55">
      <w:pPr>
        <w:jc w:val="both"/>
        <w:rPr>
          <w:rFonts w:ascii="Century Gothic" w:hAnsi="Century Gothic" w:cs="Times New Roman"/>
          <w:sz w:val="20"/>
          <w:szCs w:val="21"/>
          <w:lang w:eastAsia="es-ES_tradnl"/>
        </w:rPr>
      </w:pPr>
    </w:p>
    <w:p w14:paraId="19F3607F" w14:textId="52B88D53" w:rsidR="00646F55" w:rsidRPr="002B53F8" w:rsidRDefault="00646F55" w:rsidP="00646F55">
      <w:pPr>
        <w:pStyle w:val="Ttulo2"/>
        <w:numPr>
          <w:ilvl w:val="0"/>
          <w:numId w:val="12"/>
        </w:numPr>
        <w:rPr>
          <w:rFonts w:ascii="Century Gothic" w:hAnsi="Century Gothic"/>
          <w:color w:val="767171" w:themeColor="background2" w:themeShade="80"/>
          <w:sz w:val="24"/>
        </w:rPr>
      </w:pPr>
      <w:bookmarkStart w:id="25" w:name="_Toc132722348"/>
      <w:r w:rsidRPr="00646F55">
        <w:rPr>
          <w:rFonts w:ascii="Century Gothic" w:hAnsi="Century Gothic"/>
          <w:color w:val="767171" w:themeColor="background2" w:themeShade="80"/>
          <w:sz w:val="24"/>
        </w:rPr>
        <w:t>Gestión de residuos</w:t>
      </w:r>
      <w:bookmarkEnd w:id="25"/>
    </w:p>
    <w:p w14:paraId="0D12914E" w14:textId="77777777" w:rsidR="002B53F8" w:rsidRPr="002B53F8" w:rsidRDefault="002B53F8" w:rsidP="00646F55">
      <w:pPr>
        <w:jc w:val="both"/>
        <w:rPr>
          <w:rFonts w:ascii="Century Gothic" w:hAnsi="Century Gothic" w:cs="Times New Roman"/>
          <w:sz w:val="20"/>
          <w:szCs w:val="21"/>
          <w:lang w:val="es-ES_tradnl" w:eastAsia="es-ES_tradnl"/>
        </w:rPr>
      </w:pPr>
    </w:p>
    <w:p w14:paraId="5A078056" w14:textId="5B6BD191" w:rsidR="00646F55" w:rsidRPr="002B53F8" w:rsidRDefault="00646F55" w:rsidP="00646F55">
      <w:pPr>
        <w:jc w:val="both"/>
        <w:rPr>
          <w:rFonts w:ascii="Century Gothic" w:hAnsi="Century Gothic" w:cs="Times New Roman"/>
          <w:sz w:val="21"/>
          <w:szCs w:val="21"/>
          <w:lang w:val="es-ES_tradnl" w:eastAsia="es-ES_tradnl"/>
        </w:rPr>
      </w:pPr>
      <w:r w:rsidRPr="002B53F8">
        <w:rPr>
          <w:rFonts w:ascii="Century Gothic" w:hAnsi="Century Gothic" w:cs="Times New Roman"/>
          <w:sz w:val="21"/>
          <w:szCs w:val="21"/>
          <w:lang w:val="es-ES_tradnl" w:eastAsia="es-ES_tradnl"/>
        </w:rPr>
        <w:t xml:space="preserve">En el tema de gestión de residuos, las empresas ecuatorianas presentan </w:t>
      </w:r>
      <w:r w:rsidRPr="002B53F8">
        <w:rPr>
          <w:rFonts w:ascii="Century Gothic" w:hAnsi="Century Gothic" w:cs="Times New Roman"/>
          <w:sz w:val="21"/>
          <w:szCs w:val="21"/>
          <w:lang w:val="es-ES_tradnl" w:eastAsia="es-ES_tradnl"/>
        </w:rPr>
        <w:t>diferentes niveles de generación de residuos, así como de variedad en la g</w:t>
      </w:r>
      <w:r w:rsidR="002B53F8" w:rsidRPr="002B53F8">
        <w:rPr>
          <w:rFonts w:ascii="Century Gothic" w:hAnsi="Century Gothic" w:cs="Times New Roman"/>
          <w:sz w:val="21"/>
          <w:szCs w:val="21"/>
          <w:lang w:val="es-ES_tradnl" w:eastAsia="es-ES_tradnl"/>
        </w:rPr>
        <w:t>eneración de tipos de residuos.</w:t>
      </w:r>
    </w:p>
    <w:p w14:paraId="52539C90" w14:textId="77777777" w:rsidR="002B53F8" w:rsidRPr="002B53F8" w:rsidRDefault="002B53F8" w:rsidP="00646F55">
      <w:pPr>
        <w:jc w:val="both"/>
        <w:rPr>
          <w:rFonts w:ascii="Century Gothic" w:hAnsi="Century Gothic" w:cs="Times New Roman"/>
          <w:sz w:val="14"/>
          <w:szCs w:val="20"/>
          <w:lang w:val="es-ES_tradnl" w:eastAsia="es-ES_tradnl"/>
        </w:rPr>
      </w:pPr>
    </w:p>
    <w:p w14:paraId="6CD337E9" w14:textId="6B11CB0B" w:rsidR="00646F55" w:rsidRPr="000D670F" w:rsidRDefault="00646F55" w:rsidP="00646F55">
      <w:pPr>
        <w:pStyle w:val="Ttulo3"/>
        <w:rPr>
          <w:rFonts w:ascii="Century Gothic" w:hAnsi="Century Gothic" w:cs="Times New Roman"/>
          <w:i/>
          <w:color w:val="767171" w:themeColor="background2" w:themeShade="80"/>
          <w:sz w:val="20"/>
          <w:szCs w:val="20"/>
          <w:lang w:val="es-ES_tradnl" w:eastAsia="es-ES_tradnl"/>
        </w:rPr>
      </w:pPr>
      <w:bookmarkStart w:id="26" w:name="_Toc132722349"/>
      <w:r w:rsidRPr="000D670F">
        <w:rPr>
          <w:rFonts w:ascii="Century Gothic" w:hAnsi="Century Gothic"/>
          <w:i/>
          <w:color w:val="767171" w:themeColor="background2" w:themeShade="80"/>
        </w:rPr>
        <w:t xml:space="preserve">7.1 Gestión de </w:t>
      </w:r>
      <w:r w:rsidR="00BA455E">
        <w:rPr>
          <w:rFonts w:ascii="Century Gothic" w:hAnsi="Century Gothic"/>
          <w:i/>
          <w:color w:val="767171" w:themeColor="background2" w:themeShade="80"/>
        </w:rPr>
        <w:t>d</w:t>
      </w:r>
      <w:r w:rsidRPr="000D670F">
        <w:rPr>
          <w:rFonts w:ascii="Century Gothic" w:hAnsi="Century Gothic"/>
          <w:i/>
          <w:color w:val="767171" w:themeColor="background2" w:themeShade="80"/>
        </w:rPr>
        <w:t>es</w:t>
      </w:r>
      <w:r w:rsidR="00BA455E">
        <w:rPr>
          <w:rFonts w:ascii="Century Gothic" w:hAnsi="Century Gothic"/>
          <w:i/>
          <w:color w:val="767171" w:themeColor="background2" w:themeShade="80"/>
        </w:rPr>
        <w:t>ech</w:t>
      </w:r>
      <w:r w:rsidRPr="000D670F">
        <w:rPr>
          <w:rFonts w:ascii="Century Gothic" w:hAnsi="Century Gothic"/>
          <w:i/>
          <w:color w:val="767171" w:themeColor="background2" w:themeShade="80"/>
        </w:rPr>
        <w:t xml:space="preserve">os </w:t>
      </w:r>
      <w:r w:rsidR="00BA455E">
        <w:rPr>
          <w:rFonts w:ascii="Century Gothic" w:hAnsi="Century Gothic"/>
          <w:i/>
          <w:color w:val="767171" w:themeColor="background2" w:themeShade="80"/>
        </w:rPr>
        <w:t>es</w:t>
      </w:r>
      <w:r w:rsidRPr="000D670F">
        <w:rPr>
          <w:rFonts w:ascii="Century Gothic" w:hAnsi="Century Gothic"/>
          <w:i/>
          <w:color w:val="767171" w:themeColor="background2" w:themeShade="80"/>
        </w:rPr>
        <w:t>pe</w:t>
      </w:r>
      <w:r w:rsidR="00BA455E">
        <w:rPr>
          <w:rFonts w:ascii="Century Gothic" w:hAnsi="Century Gothic"/>
          <w:i/>
          <w:color w:val="767171" w:themeColor="background2" w:themeShade="80"/>
        </w:rPr>
        <w:t>ciale</w:t>
      </w:r>
      <w:r w:rsidRPr="000D670F">
        <w:rPr>
          <w:rFonts w:ascii="Century Gothic" w:hAnsi="Century Gothic"/>
          <w:i/>
          <w:color w:val="767171" w:themeColor="background2" w:themeShade="80"/>
        </w:rPr>
        <w:t>s</w:t>
      </w:r>
      <w:bookmarkEnd w:id="26"/>
    </w:p>
    <w:p w14:paraId="7E14C939" w14:textId="77777777" w:rsidR="00646F55" w:rsidRPr="002B53F8" w:rsidRDefault="00646F55" w:rsidP="00646F55">
      <w:pPr>
        <w:jc w:val="both"/>
        <w:rPr>
          <w:rFonts w:ascii="Century Gothic" w:hAnsi="Century Gothic" w:cs="Times New Roman"/>
          <w:sz w:val="21"/>
          <w:szCs w:val="21"/>
          <w:lang w:val="es-ES_tradnl" w:eastAsia="es-ES_tradnl"/>
        </w:rPr>
      </w:pPr>
    </w:p>
    <w:p w14:paraId="1672C91C" w14:textId="27501D95" w:rsidR="00646F55" w:rsidRPr="00360537" w:rsidRDefault="00646F55" w:rsidP="00646F55">
      <w:pPr>
        <w:jc w:val="both"/>
        <w:rPr>
          <w:rFonts w:ascii="Century Gothic" w:hAnsi="Century Gothic" w:cs="Times New Roman"/>
          <w:sz w:val="21"/>
          <w:szCs w:val="21"/>
          <w:lang w:eastAsia="es-ES_tradnl"/>
        </w:rPr>
      </w:pPr>
      <w:r w:rsidRPr="00360537">
        <w:rPr>
          <w:rFonts w:ascii="Century Gothic" w:hAnsi="Century Gothic" w:cs="Times New Roman"/>
          <w:sz w:val="21"/>
          <w:szCs w:val="21"/>
          <w:lang w:eastAsia="es-ES_tradnl"/>
        </w:rPr>
        <w:t xml:space="preserve">De las </w:t>
      </w:r>
      <w:r w:rsidR="009B6DE2">
        <w:rPr>
          <w:rFonts w:ascii="Century Gothic" w:hAnsi="Century Gothic" w:cs="Times New Roman"/>
          <w:sz w:val="21"/>
          <w:szCs w:val="21"/>
          <w:lang w:eastAsia="es-ES_tradnl"/>
        </w:rPr>
        <w:t>9</w:t>
      </w:r>
      <w:r w:rsidR="00E82712">
        <w:rPr>
          <w:rFonts w:ascii="Century Gothic" w:hAnsi="Century Gothic" w:cs="Times New Roman"/>
          <w:sz w:val="21"/>
          <w:szCs w:val="21"/>
          <w:lang w:eastAsia="es-ES_tradnl"/>
        </w:rPr>
        <w:t>.</w:t>
      </w:r>
      <w:r w:rsidR="009B6DE2">
        <w:rPr>
          <w:rFonts w:ascii="Century Gothic" w:hAnsi="Century Gothic" w:cs="Times New Roman"/>
          <w:sz w:val="21"/>
          <w:szCs w:val="21"/>
          <w:lang w:eastAsia="es-ES_tradnl"/>
        </w:rPr>
        <w:t>499</w:t>
      </w:r>
      <w:r w:rsidRPr="00360537">
        <w:rPr>
          <w:rFonts w:ascii="Century Gothic" w:hAnsi="Century Gothic" w:cs="Times New Roman"/>
          <w:sz w:val="21"/>
          <w:szCs w:val="21"/>
          <w:lang w:eastAsia="es-ES_tradnl"/>
        </w:rPr>
        <w:t xml:space="preserve"> de 1</w:t>
      </w:r>
      <w:r w:rsidR="009B6DE2">
        <w:rPr>
          <w:rFonts w:ascii="Century Gothic" w:hAnsi="Century Gothic" w:cs="Times New Roman"/>
          <w:sz w:val="21"/>
          <w:szCs w:val="21"/>
          <w:lang w:eastAsia="es-ES_tradnl"/>
        </w:rPr>
        <w:t>3</w:t>
      </w:r>
      <w:r w:rsidR="00E82712">
        <w:rPr>
          <w:rFonts w:ascii="Century Gothic" w:hAnsi="Century Gothic" w:cs="Times New Roman"/>
          <w:sz w:val="21"/>
          <w:szCs w:val="21"/>
          <w:lang w:eastAsia="es-ES_tradnl"/>
        </w:rPr>
        <w:t>.</w:t>
      </w:r>
      <w:r w:rsidRPr="00360537">
        <w:rPr>
          <w:rFonts w:ascii="Century Gothic" w:hAnsi="Century Gothic" w:cs="Times New Roman"/>
          <w:sz w:val="21"/>
          <w:szCs w:val="21"/>
          <w:lang w:eastAsia="es-ES_tradnl"/>
        </w:rPr>
        <w:t>8</w:t>
      </w:r>
      <w:r w:rsidR="009B6DE2">
        <w:rPr>
          <w:rFonts w:ascii="Century Gothic" w:hAnsi="Century Gothic" w:cs="Times New Roman"/>
          <w:sz w:val="21"/>
          <w:szCs w:val="21"/>
          <w:lang w:eastAsia="es-ES_tradnl"/>
        </w:rPr>
        <w:t>27</w:t>
      </w:r>
      <w:r w:rsidRPr="00360537">
        <w:rPr>
          <w:rFonts w:ascii="Century Gothic" w:hAnsi="Century Gothic" w:cs="Times New Roman"/>
          <w:sz w:val="21"/>
          <w:szCs w:val="21"/>
          <w:lang w:eastAsia="es-ES_tradnl"/>
        </w:rPr>
        <w:t xml:space="preserve"> empresas (=6</w:t>
      </w:r>
      <w:r w:rsidR="009B6DE2">
        <w:rPr>
          <w:rFonts w:ascii="Century Gothic" w:hAnsi="Century Gothic" w:cs="Times New Roman"/>
          <w:sz w:val="21"/>
          <w:szCs w:val="21"/>
          <w:lang w:eastAsia="es-ES_tradnl"/>
        </w:rPr>
        <w:t>8</w:t>
      </w:r>
      <w:r w:rsidR="00E82712">
        <w:rPr>
          <w:rFonts w:ascii="Century Gothic" w:hAnsi="Century Gothic" w:cs="Times New Roman"/>
          <w:sz w:val="21"/>
          <w:szCs w:val="21"/>
          <w:lang w:eastAsia="es-ES_tradnl"/>
        </w:rPr>
        <w:t>,</w:t>
      </w:r>
      <w:r w:rsidR="009B6DE2">
        <w:rPr>
          <w:rFonts w:ascii="Century Gothic" w:hAnsi="Century Gothic" w:cs="Times New Roman"/>
          <w:sz w:val="21"/>
          <w:szCs w:val="21"/>
          <w:lang w:eastAsia="es-ES_tradnl"/>
        </w:rPr>
        <w:t>70</w:t>
      </w:r>
      <w:r w:rsidRPr="00360537">
        <w:rPr>
          <w:rFonts w:ascii="Century Gothic" w:hAnsi="Century Gothic" w:cs="Times New Roman"/>
          <w:sz w:val="21"/>
          <w:szCs w:val="21"/>
          <w:lang w:eastAsia="es-ES_tradnl"/>
        </w:rPr>
        <w:t xml:space="preserve">%) que generaron desechos especiales, el </w:t>
      </w:r>
      <w:r w:rsidR="009B6DE2">
        <w:rPr>
          <w:rFonts w:ascii="Century Gothic" w:hAnsi="Century Gothic" w:cs="Times New Roman"/>
          <w:sz w:val="21"/>
          <w:szCs w:val="21"/>
          <w:lang w:eastAsia="es-ES_tradnl"/>
        </w:rPr>
        <w:t>27</w:t>
      </w:r>
      <w:r w:rsidR="00E82712">
        <w:rPr>
          <w:rFonts w:ascii="Century Gothic" w:hAnsi="Century Gothic" w:cs="Times New Roman"/>
          <w:sz w:val="21"/>
          <w:szCs w:val="21"/>
          <w:lang w:eastAsia="es-ES_tradnl"/>
        </w:rPr>
        <w:t>,</w:t>
      </w:r>
      <w:r w:rsidR="009B6DE2">
        <w:rPr>
          <w:rFonts w:ascii="Century Gothic" w:hAnsi="Century Gothic" w:cs="Times New Roman"/>
          <w:sz w:val="21"/>
          <w:szCs w:val="21"/>
          <w:lang w:eastAsia="es-ES_tradnl"/>
        </w:rPr>
        <w:t>2</w:t>
      </w:r>
      <w:r w:rsidR="00AA36D6">
        <w:rPr>
          <w:rFonts w:ascii="Century Gothic" w:hAnsi="Century Gothic" w:cs="Times New Roman"/>
          <w:sz w:val="21"/>
          <w:szCs w:val="21"/>
          <w:lang w:eastAsia="es-ES_tradnl"/>
        </w:rPr>
        <w:t>6</w:t>
      </w:r>
      <w:r w:rsidRPr="00360537">
        <w:rPr>
          <w:rFonts w:ascii="Century Gothic" w:hAnsi="Century Gothic" w:cs="Times New Roman"/>
          <w:sz w:val="21"/>
          <w:szCs w:val="21"/>
          <w:lang w:eastAsia="es-ES_tradnl"/>
        </w:rPr>
        <w:t xml:space="preserve">% conoce la cantidad generada. En total, se generaron </w:t>
      </w:r>
      <w:r w:rsidR="009B6DE2">
        <w:rPr>
          <w:rFonts w:ascii="Century Gothic" w:hAnsi="Century Gothic" w:cs="Times New Roman"/>
          <w:sz w:val="21"/>
          <w:szCs w:val="21"/>
          <w:lang w:eastAsia="es-ES_tradnl"/>
        </w:rPr>
        <w:t>112</w:t>
      </w:r>
      <w:r w:rsidR="004244DA">
        <w:rPr>
          <w:rFonts w:ascii="Century Gothic" w:hAnsi="Century Gothic" w:cs="Times New Roman"/>
          <w:sz w:val="21"/>
          <w:szCs w:val="21"/>
          <w:lang w:eastAsia="es-ES_tradnl"/>
        </w:rPr>
        <w:t>.</w:t>
      </w:r>
      <w:r w:rsidR="009B6DE2">
        <w:rPr>
          <w:rFonts w:ascii="Century Gothic" w:hAnsi="Century Gothic" w:cs="Times New Roman"/>
          <w:sz w:val="21"/>
          <w:szCs w:val="21"/>
          <w:lang w:eastAsia="es-ES_tradnl"/>
        </w:rPr>
        <w:t>3</w:t>
      </w:r>
      <w:r w:rsidR="00AA36D6">
        <w:rPr>
          <w:rFonts w:ascii="Century Gothic" w:hAnsi="Century Gothic" w:cs="Times New Roman"/>
          <w:sz w:val="21"/>
          <w:szCs w:val="21"/>
          <w:lang w:eastAsia="es-ES_tradnl"/>
        </w:rPr>
        <w:t>9</w:t>
      </w:r>
      <w:r w:rsidR="009B6DE2">
        <w:rPr>
          <w:rFonts w:ascii="Century Gothic" w:hAnsi="Century Gothic" w:cs="Times New Roman"/>
          <w:sz w:val="21"/>
          <w:szCs w:val="21"/>
          <w:lang w:eastAsia="es-ES_tradnl"/>
        </w:rPr>
        <w:t>8</w:t>
      </w:r>
      <w:r w:rsidR="004244DA">
        <w:rPr>
          <w:rFonts w:ascii="Century Gothic" w:hAnsi="Century Gothic" w:cs="Times New Roman"/>
          <w:sz w:val="21"/>
          <w:szCs w:val="21"/>
          <w:lang w:eastAsia="es-ES_tradnl"/>
        </w:rPr>
        <w:t>,</w:t>
      </w:r>
      <w:r w:rsidR="009B6DE2">
        <w:rPr>
          <w:rFonts w:ascii="Century Gothic" w:hAnsi="Century Gothic" w:cs="Times New Roman"/>
          <w:sz w:val="21"/>
          <w:szCs w:val="21"/>
          <w:lang w:eastAsia="es-ES_tradnl"/>
        </w:rPr>
        <w:t>5</w:t>
      </w:r>
      <w:r w:rsidR="00AA36D6">
        <w:rPr>
          <w:rFonts w:ascii="Century Gothic" w:hAnsi="Century Gothic" w:cs="Times New Roman"/>
          <w:sz w:val="21"/>
          <w:szCs w:val="21"/>
          <w:lang w:eastAsia="es-ES_tradnl"/>
        </w:rPr>
        <w:t>9</w:t>
      </w:r>
      <w:r w:rsidRPr="00360537">
        <w:rPr>
          <w:rFonts w:ascii="Century Gothic" w:hAnsi="Century Gothic" w:cs="Times New Roman"/>
          <w:sz w:val="21"/>
          <w:szCs w:val="21"/>
          <w:lang w:eastAsia="es-ES_tradnl"/>
        </w:rPr>
        <w:t xml:space="preserve"> toneladas de desechos especiales (</w:t>
      </w:r>
      <w:r w:rsidR="009B6DE2">
        <w:rPr>
          <w:rFonts w:ascii="Century Gothic" w:hAnsi="Century Gothic" w:cs="Times New Roman"/>
          <w:sz w:val="21"/>
          <w:szCs w:val="21"/>
          <w:lang w:eastAsia="es-ES_tradnl"/>
        </w:rPr>
        <w:t>+25</w:t>
      </w:r>
      <w:r w:rsidR="004244DA">
        <w:rPr>
          <w:rFonts w:ascii="Century Gothic" w:hAnsi="Century Gothic" w:cs="Times New Roman"/>
          <w:sz w:val="21"/>
          <w:szCs w:val="21"/>
          <w:lang w:eastAsia="es-ES_tradnl"/>
        </w:rPr>
        <w:t>,</w:t>
      </w:r>
      <w:r w:rsidR="009B6DE2">
        <w:rPr>
          <w:rFonts w:ascii="Century Gothic" w:hAnsi="Century Gothic" w:cs="Times New Roman"/>
          <w:sz w:val="21"/>
          <w:szCs w:val="21"/>
          <w:lang w:eastAsia="es-ES_tradnl"/>
        </w:rPr>
        <w:t>15</w:t>
      </w:r>
      <w:r w:rsidRPr="00360537">
        <w:rPr>
          <w:rFonts w:ascii="Century Gothic" w:hAnsi="Century Gothic" w:cs="Times New Roman"/>
          <w:sz w:val="21"/>
          <w:szCs w:val="21"/>
          <w:lang w:eastAsia="es-ES_tradnl"/>
        </w:rPr>
        <w:t xml:space="preserve">% con respecto al año </w:t>
      </w:r>
      <w:r w:rsidR="003540AD">
        <w:rPr>
          <w:rFonts w:ascii="Century Gothic" w:hAnsi="Century Gothic" w:cs="Times New Roman"/>
          <w:sz w:val="21"/>
          <w:szCs w:val="21"/>
          <w:lang w:eastAsia="es-ES_tradnl"/>
        </w:rPr>
        <w:t>20</w:t>
      </w:r>
      <w:r w:rsidR="009B6DE2">
        <w:rPr>
          <w:rFonts w:ascii="Century Gothic" w:hAnsi="Century Gothic" w:cs="Times New Roman"/>
          <w:sz w:val="21"/>
          <w:szCs w:val="21"/>
          <w:lang w:eastAsia="es-ES_tradnl"/>
        </w:rPr>
        <w:t>20</w:t>
      </w:r>
      <w:r w:rsidRPr="00360537">
        <w:rPr>
          <w:rFonts w:ascii="Century Gothic" w:hAnsi="Century Gothic" w:cs="Times New Roman"/>
          <w:sz w:val="21"/>
          <w:szCs w:val="21"/>
          <w:lang w:eastAsia="es-ES_tradnl"/>
        </w:rPr>
        <w:t xml:space="preserve">). La mayor cantidad de desechos especiales corresponde a </w:t>
      </w:r>
      <w:r w:rsidR="00353CF3" w:rsidRPr="00360537">
        <w:rPr>
          <w:rFonts w:ascii="Century Gothic" w:hAnsi="Century Gothic" w:cs="Times New Roman"/>
          <w:i/>
          <w:sz w:val="21"/>
          <w:szCs w:val="21"/>
          <w:lang w:eastAsia="es-ES_tradnl"/>
        </w:rPr>
        <w:t>Escorias de acería cuyos componentes tóxicos se encuentren bajo los valores establecidos en las normas técnicas correspondientes</w:t>
      </w:r>
      <w:r w:rsidR="00353CF3" w:rsidRPr="00360537">
        <w:rPr>
          <w:rFonts w:ascii="Century Gothic" w:hAnsi="Century Gothic" w:cs="Times New Roman"/>
          <w:sz w:val="21"/>
          <w:szCs w:val="21"/>
          <w:lang w:eastAsia="es-ES_tradnl"/>
        </w:rPr>
        <w:t xml:space="preserve"> (</w:t>
      </w:r>
      <w:r w:rsidR="00353CF3">
        <w:rPr>
          <w:rFonts w:ascii="Century Gothic" w:hAnsi="Century Gothic" w:cs="Times New Roman"/>
          <w:sz w:val="21"/>
          <w:szCs w:val="21"/>
          <w:lang w:eastAsia="es-ES_tradnl"/>
        </w:rPr>
        <w:t>65,65</w:t>
      </w:r>
      <w:r w:rsidR="00353CF3" w:rsidRPr="00360537">
        <w:rPr>
          <w:rFonts w:ascii="Century Gothic" w:hAnsi="Century Gothic" w:cs="Times New Roman"/>
          <w:sz w:val="21"/>
          <w:szCs w:val="21"/>
          <w:lang w:eastAsia="es-ES_tradnl"/>
        </w:rPr>
        <w:t xml:space="preserve">%), </w:t>
      </w:r>
      <w:r w:rsidRPr="00360537">
        <w:rPr>
          <w:rFonts w:ascii="Century Gothic" w:hAnsi="Century Gothic" w:cs="Times New Roman"/>
          <w:sz w:val="21"/>
          <w:szCs w:val="21"/>
          <w:lang w:eastAsia="es-ES_tradnl"/>
        </w:rPr>
        <w:t>seguido de</w:t>
      </w:r>
      <w:r w:rsidR="00353CF3">
        <w:rPr>
          <w:rFonts w:ascii="Century Gothic" w:hAnsi="Century Gothic" w:cs="Times New Roman"/>
          <w:sz w:val="21"/>
          <w:szCs w:val="21"/>
          <w:lang w:eastAsia="es-ES_tradnl"/>
        </w:rPr>
        <w:t xml:space="preserve"> </w:t>
      </w:r>
      <w:r w:rsidR="00353CF3" w:rsidRPr="00360537">
        <w:rPr>
          <w:rFonts w:ascii="Century Gothic" w:hAnsi="Century Gothic" w:cs="Times New Roman"/>
          <w:i/>
          <w:sz w:val="21"/>
          <w:szCs w:val="21"/>
          <w:lang w:eastAsia="es-ES_tradnl"/>
        </w:rPr>
        <w:t>Neumáticos usados o parte de los mismos</w:t>
      </w:r>
      <w:r w:rsidR="00353CF3" w:rsidRPr="00360537">
        <w:rPr>
          <w:rFonts w:ascii="Century Gothic" w:hAnsi="Century Gothic" w:cs="Times New Roman"/>
          <w:sz w:val="21"/>
          <w:szCs w:val="21"/>
          <w:lang w:eastAsia="es-ES_tradnl"/>
        </w:rPr>
        <w:t xml:space="preserve"> (</w:t>
      </w:r>
      <w:r w:rsidR="00353CF3">
        <w:rPr>
          <w:rFonts w:ascii="Century Gothic" w:hAnsi="Century Gothic" w:cs="Times New Roman"/>
          <w:sz w:val="21"/>
          <w:szCs w:val="21"/>
          <w:lang w:eastAsia="es-ES_tradnl"/>
        </w:rPr>
        <w:t>23,89</w:t>
      </w:r>
      <w:r w:rsidR="00353CF3" w:rsidRPr="00360537">
        <w:rPr>
          <w:rFonts w:ascii="Century Gothic" w:hAnsi="Century Gothic" w:cs="Times New Roman"/>
          <w:sz w:val="21"/>
          <w:szCs w:val="21"/>
          <w:lang w:eastAsia="es-ES_tradnl"/>
        </w:rPr>
        <w:t>%)</w:t>
      </w:r>
      <w:r w:rsidRPr="00360537">
        <w:rPr>
          <w:rFonts w:ascii="Century Gothic" w:hAnsi="Century Gothic" w:cs="Times New Roman"/>
          <w:sz w:val="21"/>
          <w:szCs w:val="21"/>
          <w:lang w:eastAsia="es-ES_tradnl"/>
        </w:rPr>
        <w:t xml:space="preserve"> y </w:t>
      </w:r>
      <w:r w:rsidR="00856BBA">
        <w:rPr>
          <w:rFonts w:ascii="Century Gothic" w:hAnsi="Century Gothic" w:cs="Times New Roman"/>
          <w:i/>
          <w:sz w:val="21"/>
          <w:szCs w:val="21"/>
          <w:lang w:eastAsia="es-ES_tradnl"/>
        </w:rPr>
        <w:t>Envase</w:t>
      </w:r>
      <w:r w:rsidRPr="00360537">
        <w:rPr>
          <w:rFonts w:ascii="Century Gothic" w:hAnsi="Century Gothic" w:cs="Times New Roman"/>
          <w:i/>
          <w:sz w:val="21"/>
          <w:szCs w:val="21"/>
          <w:lang w:eastAsia="es-ES_tradnl"/>
        </w:rPr>
        <w:t xml:space="preserve">s </w:t>
      </w:r>
      <w:r w:rsidR="00856BBA">
        <w:rPr>
          <w:rFonts w:ascii="Century Gothic" w:hAnsi="Century Gothic" w:cs="Times New Roman"/>
          <w:i/>
          <w:sz w:val="21"/>
          <w:szCs w:val="21"/>
          <w:lang w:eastAsia="es-ES_tradnl"/>
        </w:rPr>
        <w:t>vacío</w:t>
      </w:r>
      <w:r w:rsidRPr="00360537">
        <w:rPr>
          <w:rFonts w:ascii="Century Gothic" w:hAnsi="Century Gothic" w:cs="Times New Roman"/>
          <w:i/>
          <w:sz w:val="21"/>
          <w:szCs w:val="21"/>
          <w:lang w:eastAsia="es-ES_tradnl"/>
        </w:rPr>
        <w:t>s</w:t>
      </w:r>
      <w:r w:rsidR="00856BBA">
        <w:rPr>
          <w:rFonts w:ascii="Century Gothic" w:hAnsi="Century Gothic" w:cs="Times New Roman"/>
          <w:i/>
          <w:sz w:val="21"/>
          <w:szCs w:val="21"/>
          <w:lang w:eastAsia="es-ES_tradnl"/>
        </w:rPr>
        <w:t xml:space="preserve"> de agroquímicos con triple lavado</w:t>
      </w:r>
      <w:r w:rsidRPr="00360537">
        <w:rPr>
          <w:rFonts w:ascii="Century Gothic" w:hAnsi="Century Gothic" w:cs="Times New Roman"/>
          <w:sz w:val="21"/>
          <w:szCs w:val="21"/>
          <w:lang w:eastAsia="es-ES_tradnl"/>
        </w:rPr>
        <w:t xml:space="preserve"> </w:t>
      </w:r>
      <w:r w:rsidRPr="00D27575">
        <w:rPr>
          <w:rFonts w:ascii="Century Gothic" w:hAnsi="Century Gothic" w:cs="Times New Roman"/>
          <w:sz w:val="21"/>
          <w:szCs w:val="21"/>
          <w:lang w:eastAsia="es-ES_tradnl"/>
        </w:rPr>
        <w:t>(</w:t>
      </w:r>
      <w:r w:rsidR="00353CF3" w:rsidRPr="00D27575">
        <w:rPr>
          <w:rFonts w:ascii="Century Gothic" w:hAnsi="Century Gothic" w:cs="Times New Roman"/>
          <w:sz w:val="21"/>
          <w:szCs w:val="21"/>
          <w:lang w:eastAsia="es-ES_tradnl"/>
        </w:rPr>
        <w:t>6</w:t>
      </w:r>
      <w:r w:rsidR="004244DA" w:rsidRPr="00D27575">
        <w:rPr>
          <w:rFonts w:ascii="Century Gothic" w:hAnsi="Century Gothic" w:cs="Times New Roman"/>
          <w:sz w:val="21"/>
          <w:szCs w:val="21"/>
          <w:lang w:eastAsia="es-ES_tradnl"/>
        </w:rPr>
        <w:t>,</w:t>
      </w:r>
      <w:r w:rsidR="00353CF3" w:rsidRPr="00D27575">
        <w:rPr>
          <w:rFonts w:ascii="Century Gothic" w:hAnsi="Century Gothic" w:cs="Times New Roman"/>
          <w:sz w:val="21"/>
          <w:szCs w:val="21"/>
          <w:lang w:eastAsia="es-ES_tradnl"/>
        </w:rPr>
        <w:t>79</w:t>
      </w:r>
      <w:r w:rsidRPr="00D27575">
        <w:rPr>
          <w:rFonts w:ascii="Century Gothic" w:hAnsi="Century Gothic" w:cs="Times New Roman"/>
          <w:sz w:val="21"/>
          <w:szCs w:val="21"/>
          <w:lang w:eastAsia="es-ES_tradnl"/>
        </w:rPr>
        <w:t xml:space="preserve">%). En la Tabla </w:t>
      </w:r>
      <w:r w:rsidR="00C63822" w:rsidRPr="00D27575">
        <w:rPr>
          <w:rFonts w:ascii="Century Gothic" w:hAnsi="Century Gothic" w:cs="Times New Roman"/>
          <w:sz w:val="21"/>
          <w:szCs w:val="21"/>
          <w:lang w:eastAsia="es-ES_tradnl"/>
        </w:rPr>
        <w:t>3</w:t>
      </w:r>
      <w:r w:rsidRPr="00D27575">
        <w:rPr>
          <w:rFonts w:ascii="Century Gothic" w:hAnsi="Century Gothic" w:cs="Times New Roman"/>
          <w:sz w:val="21"/>
          <w:szCs w:val="21"/>
          <w:lang w:eastAsia="es-ES_tradnl"/>
        </w:rPr>
        <w:t xml:space="preserve"> se muestran los resultados de la generación de desechos especiales.</w:t>
      </w:r>
    </w:p>
    <w:p w14:paraId="4C99F0F1" w14:textId="77777777" w:rsidR="00646F55" w:rsidRPr="00360537" w:rsidRDefault="00646F55" w:rsidP="00646F55">
      <w:pPr>
        <w:jc w:val="both"/>
        <w:rPr>
          <w:rFonts w:ascii="Century Gothic" w:hAnsi="Century Gothic" w:cs="Times New Roman"/>
          <w:sz w:val="21"/>
          <w:szCs w:val="21"/>
          <w:lang w:eastAsia="es-ES_tradnl"/>
        </w:rPr>
      </w:pPr>
    </w:p>
    <w:p w14:paraId="48BD291D" w14:textId="17717D11" w:rsidR="00646F55" w:rsidRPr="00646F55" w:rsidRDefault="002C42E4" w:rsidP="00646F55">
      <w:pPr>
        <w:pStyle w:val="Descripcin"/>
        <w:jc w:val="both"/>
        <w:rPr>
          <w:b/>
          <w:bCs/>
          <w:i w:val="0"/>
          <w:color w:val="595959" w:themeColor="text1" w:themeTint="A6"/>
          <w:sz w:val="16"/>
        </w:rPr>
      </w:pPr>
      <w:bookmarkStart w:id="27" w:name="_Toc132722368"/>
      <w:r w:rsidRPr="007E3C14">
        <w:rPr>
          <w:b/>
          <w:bCs/>
          <w:i w:val="0"/>
          <w:color w:val="auto"/>
          <w:sz w:val="16"/>
        </w:rPr>
        <w:t xml:space="preserve">Tabla </w:t>
      </w:r>
      <w:r w:rsidRPr="007E3C14">
        <w:rPr>
          <w:b/>
          <w:bCs/>
          <w:i w:val="0"/>
          <w:color w:val="auto"/>
          <w:sz w:val="16"/>
        </w:rPr>
        <w:fldChar w:fldCharType="begin"/>
      </w:r>
      <w:r w:rsidRPr="007E3C14">
        <w:rPr>
          <w:b/>
          <w:bCs/>
          <w:i w:val="0"/>
          <w:color w:val="auto"/>
          <w:sz w:val="16"/>
        </w:rPr>
        <w:instrText xml:space="preserve"> SEQ Tabla \* ARABIC </w:instrText>
      </w:r>
      <w:r w:rsidRPr="007E3C14">
        <w:rPr>
          <w:b/>
          <w:bCs/>
          <w:i w:val="0"/>
          <w:color w:val="auto"/>
          <w:sz w:val="16"/>
        </w:rPr>
        <w:fldChar w:fldCharType="separate"/>
      </w:r>
      <w:r>
        <w:rPr>
          <w:b/>
          <w:bCs/>
          <w:i w:val="0"/>
          <w:noProof/>
          <w:color w:val="auto"/>
          <w:sz w:val="16"/>
        </w:rPr>
        <w:t>3</w:t>
      </w:r>
      <w:r w:rsidRPr="007E3C14">
        <w:rPr>
          <w:b/>
          <w:bCs/>
          <w:i w:val="0"/>
          <w:color w:val="auto"/>
          <w:sz w:val="16"/>
        </w:rPr>
        <w:fldChar w:fldCharType="end"/>
      </w:r>
      <w:r w:rsidR="00646F55" w:rsidRPr="00705E01">
        <w:rPr>
          <w:b/>
          <w:bCs/>
          <w:i w:val="0"/>
          <w:iCs w:val="0"/>
          <w:color w:val="595959" w:themeColor="text1" w:themeTint="A6"/>
          <w:sz w:val="16"/>
        </w:rPr>
        <w:t>.</w:t>
      </w:r>
      <w:r w:rsidR="00646F55" w:rsidRPr="00705E01">
        <w:rPr>
          <w:rFonts w:cstheme="minorHAnsi"/>
          <w:i w:val="0"/>
          <w:sz w:val="16"/>
          <w:lang w:val="es-EC"/>
        </w:rPr>
        <w:t xml:space="preserve"> </w:t>
      </w:r>
      <w:r w:rsidR="00646F55" w:rsidRPr="00705E01">
        <w:rPr>
          <w:rFonts w:cstheme="minorHAnsi"/>
          <w:i w:val="0"/>
          <w:color w:val="auto"/>
          <w:sz w:val="16"/>
          <w:lang w:val="es-EC"/>
        </w:rPr>
        <w:t>Empresas que generaron desechos especiales, por tipo de desecho (</w:t>
      </w:r>
      <w:r w:rsidR="003540AD" w:rsidRPr="00705E01">
        <w:rPr>
          <w:rFonts w:cstheme="minorHAnsi"/>
          <w:i w:val="0"/>
          <w:color w:val="auto"/>
          <w:sz w:val="16"/>
          <w:lang w:val="es-EC"/>
        </w:rPr>
        <w:t>20</w:t>
      </w:r>
      <w:r w:rsidR="00C63822">
        <w:rPr>
          <w:rFonts w:cstheme="minorHAnsi"/>
          <w:i w:val="0"/>
          <w:color w:val="auto"/>
          <w:sz w:val="16"/>
          <w:lang w:val="es-EC"/>
        </w:rPr>
        <w:t>20</w:t>
      </w:r>
      <w:r w:rsidR="00646F55" w:rsidRPr="00705E01">
        <w:rPr>
          <w:rFonts w:cstheme="minorHAnsi"/>
          <w:i w:val="0"/>
          <w:color w:val="auto"/>
          <w:sz w:val="16"/>
          <w:lang w:val="es-EC"/>
        </w:rPr>
        <w:t>-</w:t>
      </w:r>
      <w:r w:rsidR="003540AD" w:rsidRPr="00705E01">
        <w:rPr>
          <w:rFonts w:cstheme="minorHAnsi"/>
          <w:i w:val="0"/>
          <w:color w:val="auto"/>
          <w:sz w:val="16"/>
          <w:lang w:val="es-EC"/>
        </w:rPr>
        <w:t>202</w:t>
      </w:r>
      <w:r w:rsidR="00C63822">
        <w:rPr>
          <w:rFonts w:cstheme="minorHAnsi"/>
          <w:i w:val="0"/>
          <w:color w:val="auto"/>
          <w:sz w:val="16"/>
          <w:lang w:val="es-EC"/>
        </w:rPr>
        <w:t>1</w:t>
      </w:r>
      <w:r w:rsidR="00646F55" w:rsidRPr="00705E01">
        <w:rPr>
          <w:rFonts w:cstheme="minorHAnsi"/>
          <w:i w:val="0"/>
          <w:color w:val="auto"/>
          <w:sz w:val="16"/>
          <w:lang w:val="es-EC"/>
        </w:rPr>
        <w:t>).</w:t>
      </w:r>
      <w:bookmarkEnd w:id="27"/>
    </w:p>
    <w:tbl>
      <w:tblPr>
        <w:tblW w:w="0" w:type="auto"/>
        <w:tblBorders>
          <w:top w:val="single" w:sz="6" w:space="0" w:color="70AD47"/>
          <w:left w:val="single" w:sz="6" w:space="0" w:color="70AD47"/>
          <w:bottom w:val="single" w:sz="6" w:space="0" w:color="70AD47"/>
          <w:right w:val="single" w:sz="6" w:space="0" w:color="70AD47"/>
          <w:insideH w:val="single" w:sz="6" w:space="0" w:color="70AD47"/>
          <w:insideV w:val="single" w:sz="6" w:space="0" w:color="70AD47"/>
        </w:tblBorders>
        <w:tblCellMar>
          <w:left w:w="0" w:type="dxa"/>
          <w:right w:w="0" w:type="dxa"/>
        </w:tblCellMar>
        <w:tblLook w:val="0600" w:firstRow="0" w:lastRow="0" w:firstColumn="0" w:lastColumn="0" w:noHBand="1" w:noVBand="1"/>
      </w:tblPr>
      <w:tblGrid>
        <w:gridCol w:w="868"/>
        <w:gridCol w:w="542"/>
        <w:gridCol w:w="504"/>
        <w:gridCol w:w="460"/>
        <w:gridCol w:w="541"/>
        <w:gridCol w:w="504"/>
        <w:gridCol w:w="460"/>
      </w:tblGrid>
      <w:tr w:rsidR="00646F55" w:rsidRPr="00646F55" w14:paraId="4AF23012" w14:textId="77777777" w:rsidTr="00646F55">
        <w:trPr>
          <w:trHeight w:val="311"/>
        </w:trPr>
        <w:tc>
          <w:tcPr>
            <w:tcW w:w="0" w:type="auto"/>
            <w:vMerge w:val="restart"/>
            <w:shd w:val="clear" w:color="auto" w:fill="A8D08D" w:themeFill="accent6" w:themeFillTint="99"/>
            <w:tcMar>
              <w:top w:w="15" w:type="dxa"/>
              <w:left w:w="15" w:type="dxa"/>
              <w:bottom w:w="0" w:type="dxa"/>
              <w:right w:w="15" w:type="dxa"/>
            </w:tcMar>
            <w:vAlign w:val="center"/>
            <w:hideMark/>
          </w:tcPr>
          <w:p w14:paraId="1BDF1607" w14:textId="77777777" w:rsidR="00646F55" w:rsidRPr="00646F55" w:rsidRDefault="00646F55" w:rsidP="00646F55">
            <w:pPr>
              <w:jc w:val="center"/>
              <w:rPr>
                <w:rFonts w:ascii="Century Gothic" w:hAnsi="Century Gothic" w:cs="Times New Roman"/>
                <w:sz w:val="12"/>
                <w:szCs w:val="20"/>
                <w:lang w:val="es-PR" w:eastAsia="es-ES_tradnl"/>
              </w:rPr>
            </w:pPr>
            <w:r w:rsidRPr="00646F55">
              <w:rPr>
                <w:rFonts w:ascii="Century Gothic" w:hAnsi="Century Gothic" w:cs="Times New Roman"/>
                <w:b/>
                <w:bCs/>
                <w:sz w:val="12"/>
                <w:szCs w:val="20"/>
                <w:lang w:eastAsia="es-ES_tradnl"/>
              </w:rPr>
              <w:t>Desechos especiales</w:t>
            </w:r>
          </w:p>
        </w:tc>
        <w:tc>
          <w:tcPr>
            <w:tcW w:w="0" w:type="auto"/>
            <w:shd w:val="clear" w:color="auto" w:fill="A8D08D" w:themeFill="accent6" w:themeFillTint="99"/>
            <w:tcMar>
              <w:top w:w="15" w:type="dxa"/>
              <w:left w:w="15" w:type="dxa"/>
              <w:bottom w:w="0" w:type="dxa"/>
              <w:right w:w="15" w:type="dxa"/>
            </w:tcMar>
            <w:vAlign w:val="center"/>
            <w:hideMark/>
          </w:tcPr>
          <w:p w14:paraId="585CD1E0" w14:textId="77777777" w:rsidR="00646F55" w:rsidRPr="00646F55" w:rsidRDefault="00646F55" w:rsidP="00646F55">
            <w:pPr>
              <w:jc w:val="center"/>
              <w:rPr>
                <w:rFonts w:ascii="Century Gothic" w:hAnsi="Century Gothic" w:cs="Times New Roman"/>
                <w:sz w:val="11"/>
                <w:szCs w:val="11"/>
                <w:lang w:val="es-PR" w:eastAsia="es-ES_tradnl"/>
              </w:rPr>
            </w:pPr>
            <w:r w:rsidRPr="00646F55">
              <w:rPr>
                <w:rFonts w:ascii="Century Gothic" w:hAnsi="Century Gothic" w:cs="Times New Roman"/>
                <w:b/>
                <w:bCs/>
                <w:sz w:val="11"/>
                <w:szCs w:val="11"/>
                <w:lang w:eastAsia="es-ES_tradnl"/>
              </w:rPr>
              <w:t>Empresas</w:t>
            </w:r>
          </w:p>
          <w:p w14:paraId="7BEC5537" w14:textId="666698D5" w:rsidR="00646F55" w:rsidRPr="00646F55" w:rsidRDefault="003540AD" w:rsidP="00646F55">
            <w:pPr>
              <w:jc w:val="center"/>
              <w:rPr>
                <w:rFonts w:ascii="Century Gothic" w:hAnsi="Century Gothic" w:cs="Times New Roman"/>
                <w:sz w:val="11"/>
                <w:szCs w:val="11"/>
                <w:lang w:val="es-PR" w:eastAsia="es-ES_tradnl"/>
              </w:rPr>
            </w:pPr>
            <w:r>
              <w:rPr>
                <w:rFonts w:ascii="Century Gothic" w:hAnsi="Century Gothic" w:cs="Times New Roman"/>
                <w:b/>
                <w:bCs/>
                <w:sz w:val="11"/>
                <w:szCs w:val="11"/>
                <w:lang w:eastAsia="es-ES_tradnl"/>
              </w:rPr>
              <w:t>2019</w:t>
            </w:r>
          </w:p>
        </w:tc>
        <w:tc>
          <w:tcPr>
            <w:tcW w:w="0" w:type="auto"/>
            <w:gridSpan w:val="2"/>
            <w:shd w:val="clear" w:color="auto" w:fill="A8D08D" w:themeFill="accent6" w:themeFillTint="99"/>
            <w:tcMar>
              <w:top w:w="15" w:type="dxa"/>
              <w:left w:w="15" w:type="dxa"/>
              <w:bottom w:w="0" w:type="dxa"/>
              <w:right w:w="15" w:type="dxa"/>
            </w:tcMar>
            <w:vAlign w:val="center"/>
            <w:hideMark/>
          </w:tcPr>
          <w:p w14:paraId="348E0CD4" w14:textId="7DCEFB25" w:rsidR="00646F55" w:rsidRPr="00646F55" w:rsidRDefault="00E94578" w:rsidP="00646F55">
            <w:pPr>
              <w:jc w:val="center"/>
              <w:rPr>
                <w:rFonts w:ascii="Century Gothic" w:hAnsi="Century Gothic" w:cs="Times New Roman"/>
                <w:sz w:val="11"/>
                <w:szCs w:val="11"/>
                <w:lang w:val="es-PR" w:eastAsia="es-ES_tradnl"/>
              </w:rPr>
            </w:pPr>
            <w:r>
              <w:rPr>
                <w:rFonts w:ascii="Century Gothic" w:hAnsi="Century Gothic" w:cs="Times New Roman"/>
                <w:b/>
                <w:bCs/>
                <w:sz w:val="11"/>
                <w:szCs w:val="11"/>
                <w:lang w:eastAsia="es-ES_tradnl"/>
              </w:rPr>
              <w:t>kilot</w:t>
            </w:r>
            <w:r w:rsidR="00646F55" w:rsidRPr="00646F55">
              <w:rPr>
                <w:rFonts w:ascii="Century Gothic" w:hAnsi="Century Gothic" w:cs="Times New Roman"/>
                <w:b/>
                <w:bCs/>
                <w:sz w:val="11"/>
                <w:szCs w:val="11"/>
                <w:lang w:eastAsia="es-ES_tradnl"/>
              </w:rPr>
              <w:t>oneladas (</w:t>
            </w:r>
            <w:r>
              <w:rPr>
                <w:rFonts w:ascii="Century Gothic" w:hAnsi="Century Gothic" w:cs="Times New Roman"/>
                <w:b/>
                <w:bCs/>
                <w:sz w:val="11"/>
                <w:szCs w:val="11"/>
                <w:lang w:eastAsia="es-ES_tradnl"/>
              </w:rPr>
              <w:t>kT</w:t>
            </w:r>
            <w:r w:rsidR="00646F55" w:rsidRPr="00646F55">
              <w:rPr>
                <w:rFonts w:ascii="Century Gothic" w:hAnsi="Century Gothic" w:cs="Times New Roman"/>
                <w:b/>
                <w:bCs/>
                <w:sz w:val="11"/>
                <w:szCs w:val="11"/>
                <w:lang w:eastAsia="es-ES_tradnl"/>
              </w:rPr>
              <w:t>)</w:t>
            </w:r>
          </w:p>
        </w:tc>
        <w:tc>
          <w:tcPr>
            <w:tcW w:w="0" w:type="auto"/>
            <w:shd w:val="clear" w:color="auto" w:fill="A8D08D" w:themeFill="accent6" w:themeFillTint="99"/>
            <w:tcMar>
              <w:top w:w="15" w:type="dxa"/>
              <w:left w:w="15" w:type="dxa"/>
              <w:bottom w:w="0" w:type="dxa"/>
              <w:right w:w="15" w:type="dxa"/>
            </w:tcMar>
            <w:vAlign w:val="center"/>
            <w:hideMark/>
          </w:tcPr>
          <w:p w14:paraId="488EDF95" w14:textId="77777777" w:rsidR="00646F55" w:rsidRPr="00646F55" w:rsidRDefault="00646F55" w:rsidP="00646F55">
            <w:pPr>
              <w:jc w:val="center"/>
              <w:rPr>
                <w:rFonts w:ascii="Century Gothic" w:hAnsi="Century Gothic" w:cs="Times New Roman"/>
                <w:sz w:val="11"/>
                <w:szCs w:val="11"/>
                <w:lang w:val="es-PR" w:eastAsia="es-ES_tradnl"/>
              </w:rPr>
            </w:pPr>
            <w:r w:rsidRPr="00646F55">
              <w:rPr>
                <w:rFonts w:ascii="Century Gothic" w:hAnsi="Century Gothic" w:cs="Times New Roman"/>
                <w:b/>
                <w:bCs/>
                <w:sz w:val="11"/>
                <w:szCs w:val="11"/>
                <w:lang w:eastAsia="es-ES_tradnl"/>
              </w:rPr>
              <w:t>Empresas</w:t>
            </w:r>
          </w:p>
          <w:p w14:paraId="2C24244E" w14:textId="2F317A4C" w:rsidR="00646F55" w:rsidRPr="00646F55" w:rsidRDefault="003540AD" w:rsidP="00646F55">
            <w:pPr>
              <w:jc w:val="center"/>
              <w:rPr>
                <w:rFonts w:ascii="Century Gothic" w:hAnsi="Century Gothic" w:cs="Times New Roman"/>
                <w:sz w:val="11"/>
                <w:szCs w:val="11"/>
                <w:lang w:val="es-PR" w:eastAsia="es-ES_tradnl"/>
              </w:rPr>
            </w:pPr>
            <w:r>
              <w:rPr>
                <w:rFonts w:ascii="Century Gothic" w:hAnsi="Century Gothic" w:cs="Times New Roman"/>
                <w:b/>
                <w:bCs/>
                <w:sz w:val="11"/>
                <w:szCs w:val="11"/>
                <w:lang w:eastAsia="es-ES_tradnl"/>
              </w:rPr>
              <w:t>2020</w:t>
            </w:r>
          </w:p>
        </w:tc>
        <w:tc>
          <w:tcPr>
            <w:tcW w:w="0" w:type="auto"/>
            <w:gridSpan w:val="2"/>
            <w:shd w:val="clear" w:color="auto" w:fill="A8D08D" w:themeFill="accent6" w:themeFillTint="99"/>
            <w:tcMar>
              <w:top w:w="15" w:type="dxa"/>
              <w:left w:w="15" w:type="dxa"/>
              <w:bottom w:w="0" w:type="dxa"/>
              <w:right w:w="15" w:type="dxa"/>
            </w:tcMar>
            <w:vAlign w:val="center"/>
            <w:hideMark/>
          </w:tcPr>
          <w:p w14:paraId="0191A1A0" w14:textId="57D39F79" w:rsidR="00646F55" w:rsidRPr="00646F55" w:rsidRDefault="00E94578" w:rsidP="00646F55">
            <w:pPr>
              <w:jc w:val="center"/>
              <w:rPr>
                <w:rFonts w:ascii="Century Gothic" w:hAnsi="Century Gothic" w:cs="Times New Roman"/>
                <w:sz w:val="11"/>
                <w:szCs w:val="11"/>
                <w:lang w:val="es-PR" w:eastAsia="es-ES_tradnl"/>
              </w:rPr>
            </w:pPr>
            <w:r>
              <w:rPr>
                <w:rFonts w:ascii="Century Gothic" w:hAnsi="Century Gothic" w:cs="Times New Roman"/>
                <w:b/>
                <w:bCs/>
                <w:sz w:val="11"/>
                <w:szCs w:val="11"/>
                <w:lang w:eastAsia="es-ES_tradnl"/>
              </w:rPr>
              <w:t>kilot</w:t>
            </w:r>
            <w:r w:rsidRPr="00646F55">
              <w:rPr>
                <w:rFonts w:ascii="Century Gothic" w:hAnsi="Century Gothic" w:cs="Times New Roman"/>
                <w:b/>
                <w:bCs/>
                <w:sz w:val="11"/>
                <w:szCs w:val="11"/>
                <w:lang w:eastAsia="es-ES_tradnl"/>
              </w:rPr>
              <w:t>oneladas (</w:t>
            </w:r>
            <w:r>
              <w:rPr>
                <w:rFonts w:ascii="Century Gothic" w:hAnsi="Century Gothic" w:cs="Times New Roman"/>
                <w:b/>
                <w:bCs/>
                <w:sz w:val="11"/>
                <w:szCs w:val="11"/>
                <w:lang w:eastAsia="es-ES_tradnl"/>
              </w:rPr>
              <w:t>kT</w:t>
            </w:r>
            <w:r w:rsidRPr="00646F55">
              <w:rPr>
                <w:rFonts w:ascii="Century Gothic" w:hAnsi="Century Gothic" w:cs="Times New Roman"/>
                <w:b/>
                <w:bCs/>
                <w:sz w:val="11"/>
                <w:szCs w:val="11"/>
                <w:lang w:eastAsia="es-ES_tradnl"/>
              </w:rPr>
              <w:t>)</w:t>
            </w:r>
          </w:p>
        </w:tc>
      </w:tr>
      <w:tr w:rsidR="00646F55" w:rsidRPr="00646F55" w14:paraId="5BB7DE26" w14:textId="77777777" w:rsidTr="00646F55">
        <w:trPr>
          <w:trHeight w:val="258"/>
        </w:trPr>
        <w:tc>
          <w:tcPr>
            <w:tcW w:w="0" w:type="auto"/>
            <w:vMerge/>
            <w:shd w:val="clear" w:color="auto" w:fill="A8D08D" w:themeFill="accent6" w:themeFillTint="99"/>
            <w:vAlign w:val="center"/>
            <w:hideMark/>
          </w:tcPr>
          <w:p w14:paraId="482AFE2D" w14:textId="77777777" w:rsidR="00646F55" w:rsidRPr="00646F55" w:rsidRDefault="00646F55" w:rsidP="00646F55">
            <w:pPr>
              <w:jc w:val="center"/>
              <w:rPr>
                <w:rFonts w:ascii="Century Gothic" w:hAnsi="Century Gothic" w:cs="Times New Roman"/>
                <w:sz w:val="12"/>
                <w:szCs w:val="20"/>
                <w:lang w:val="es-PR" w:eastAsia="es-ES_tradnl"/>
              </w:rPr>
            </w:pPr>
          </w:p>
        </w:tc>
        <w:tc>
          <w:tcPr>
            <w:tcW w:w="0" w:type="auto"/>
            <w:shd w:val="clear" w:color="auto" w:fill="A8D08D" w:themeFill="accent6" w:themeFillTint="99"/>
            <w:tcMar>
              <w:top w:w="15" w:type="dxa"/>
              <w:left w:w="15" w:type="dxa"/>
              <w:bottom w:w="0" w:type="dxa"/>
              <w:right w:w="15" w:type="dxa"/>
            </w:tcMar>
            <w:vAlign w:val="center"/>
            <w:hideMark/>
          </w:tcPr>
          <w:p w14:paraId="3465EF45" w14:textId="77777777" w:rsidR="00646F55" w:rsidRPr="00646F55" w:rsidRDefault="00646F55" w:rsidP="00646F55">
            <w:pPr>
              <w:jc w:val="center"/>
              <w:rPr>
                <w:rFonts w:ascii="Century Gothic" w:hAnsi="Century Gothic" w:cs="Times New Roman"/>
                <w:sz w:val="11"/>
                <w:szCs w:val="11"/>
                <w:lang w:val="es-PR" w:eastAsia="es-ES_tradnl"/>
              </w:rPr>
            </w:pPr>
            <w:r w:rsidRPr="00646F55">
              <w:rPr>
                <w:rFonts w:ascii="Century Gothic" w:hAnsi="Century Gothic" w:cs="Times New Roman"/>
                <w:b/>
                <w:bCs/>
                <w:sz w:val="11"/>
                <w:szCs w:val="11"/>
                <w:lang w:eastAsia="es-ES_tradnl"/>
              </w:rPr>
              <w:t>Recuento</w:t>
            </w:r>
          </w:p>
        </w:tc>
        <w:tc>
          <w:tcPr>
            <w:tcW w:w="0" w:type="auto"/>
            <w:shd w:val="clear" w:color="auto" w:fill="A8D08D" w:themeFill="accent6" w:themeFillTint="99"/>
            <w:tcMar>
              <w:top w:w="15" w:type="dxa"/>
              <w:left w:w="15" w:type="dxa"/>
              <w:bottom w:w="0" w:type="dxa"/>
              <w:right w:w="15" w:type="dxa"/>
            </w:tcMar>
            <w:vAlign w:val="center"/>
            <w:hideMark/>
          </w:tcPr>
          <w:p w14:paraId="45990B9F" w14:textId="2FC317D5" w:rsidR="00646F55" w:rsidRPr="00646F55" w:rsidRDefault="00646F55" w:rsidP="00646F55">
            <w:pPr>
              <w:jc w:val="center"/>
              <w:rPr>
                <w:rFonts w:ascii="Century Gothic" w:hAnsi="Century Gothic" w:cs="Times New Roman"/>
                <w:sz w:val="11"/>
                <w:szCs w:val="11"/>
                <w:lang w:val="es-PR" w:eastAsia="es-ES_tradnl"/>
              </w:rPr>
            </w:pPr>
            <w:r w:rsidRPr="00646F55">
              <w:rPr>
                <w:rFonts w:ascii="Century Gothic" w:hAnsi="Century Gothic" w:cs="Times New Roman"/>
                <w:b/>
                <w:bCs/>
                <w:sz w:val="11"/>
                <w:szCs w:val="11"/>
                <w:lang w:eastAsia="es-ES_tradnl"/>
              </w:rPr>
              <w:t xml:space="preserve">Absoluto </w:t>
            </w:r>
            <w:r w:rsidR="003540AD">
              <w:rPr>
                <w:rFonts w:ascii="Century Gothic" w:hAnsi="Century Gothic" w:cs="Times New Roman"/>
                <w:b/>
                <w:bCs/>
                <w:sz w:val="11"/>
                <w:szCs w:val="11"/>
                <w:lang w:eastAsia="es-ES_tradnl"/>
              </w:rPr>
              <w:t>2019</w:t>
            </w:r>
          </w:p>
        </w:tc>
        <w:tc>
          <w:tcPr>
            <w:tcW w:w="0" w:type="auto"/>
            <w:shd w:val="clear" w:color="auto" w:fill="A8D08D" w:themeFill="accent6" w:themeFillTint="99"/>
            <w:tcMar>
              <w:top w:w="15" w:type="dxa"/>
              <w:left w:w="15" w:type="dxa"/>
              <w:bottom w:w="0" w:type="dxa"/>
              <w:right w:w="15" w:type="dxa"/>
            </w:tcMar>
            <w:vAlign w:val="center"/>
            <w:hideMark/>
          </w:tcPr>
          <w:p w14:paraId="1B5FBFA3" w14:textId="4D85DB22" w:rsidR="00646F55" w:rsidRPr="00646F55" w:rsidRDefault="00646F55" w:rsidP="00646F55">
            <w:pPr>
              <w:jc w:val="center"/>
              <w:rPr>
                <w:rFonts w:ascii="Century Gothic" w:hAnsi="Century Gothic" w:cs="Times New Roman"/>
                <w:sz w:val="11"/>
                <w:szCs w:val="11"/>
                <w:lang w:val="es-PR" w:eastAsia="es-ES_tradnl"/>
              </w:rPr>
            </w:pPr>
            <w:r w:rsidRPr="00646F55">
              <w:rPr>
                <w:rFonts w:ascii="Century Gothic" w:hAnsi="Century Gothic" w:cs="Times New Roman"/>
                <w:b/>
                <w:bCs/>
                <w:sz w:val="11"/>
                <w:szCs w:val="11"/>
                <w:lang w:eastAsia="es-ES_tradnl"/>
              </w:rPr>
              <w:t xml:space="preserve">Relativo </w:t>
            </w:r>
            <w:r w:rsidR="003540AD">
              <w:rPr>
                <w:rFonts w:ascii="Century Gothic" w:hAnsi="Century Gothic" w:cs="Times New Roman"/>
                <w:b/>
                <w:bCs/>
                <w:sz w:val="11"/>
                <w:szCs w:val="11"/>
                <w:lang w:eastAsia="es-ES_tradnl"/>
              </w:rPr>
              <w:t>2019</w:t>
            </w:r>
          </w:p>
        </w:tc>
        <w:tc>
          <w:tcPr>
            <w:tcW w:w="0" w:type="auto"/>
            <w:shd w:val="clear" w:color="auto" w:fill="A8D08D" w:themeFill="accent6" w:themeFillTint="99"/>
            <w:tcMar>
              <w:top w:w="15" w:type="dxa"/>
              <w:left w:w="15" w:type="dxa"/>
              <w:bottom w:w="0" w:type="dxa"/>
              <w:right w:w="15" w:type="dxa"/>
            </w:tcMar>
            <w:vAlign w:val="center"/>
            <w:hideMark/>
          </w:tcPr>
          <w:p w14:paraId="434780C5" w14:textId="77777777" w:rsidR="00646F55" w:rsidRPr="00646F55" w:rsidRDefault="00646F55" w:rsidP="00646F55">
            <w:pPr>
              <w:jc w:val="center"/>
              <w:rPr>
                <w:rFonts w:ascii="Century Gothic" w:hAnsi="Century Gothic" w:cs="Times New Roman"/>
                <w:sz w:val="11"/>
                <w:szCs w:val="11"/>
                <w:lang w:val="es-PR" w:eastAsia="es-ES_tradnl"/>
              </w:rPr>
            </w:pPr>
            <w:r w:rsidRPr="00646F55">
              <w:rPr>
                <w:rFonts w:ascii="Century Gothic" w:hAnsi="Century Gothic" w:cs="Times New Roman"/>
                <w:b/>
                <w:bCs/>
                <w:sz w:val="11"/>
                <w:szCs w:val="11"/>
                <w:lang w:eastAsia="es-ES_tradnl"/>
              </w:rPr>
              <w:t>Recuento</w:t>
            </w:r>
          </w:p>
        </w:tc>
        <w:tc>
          <w:tcPr>
            <w:tcW w:w="0" w:type="auto"/>
            <w:shd w:val="clear" w:color="auto" w:fill="A8D08D" w:themeFill="accent6" w:themeFillTint="99"/>
            <w:tcMar>
              <w:top w:w="15" w:type="dxa"/>
              <w:left w:w="15" w:type="dxa"/>
              <w:bottom w:w="0" w:type="dxa"/>
              <w:right w:w="15" w:type="dxa"/>
            </w:tcMar>
            <w:vAlign w:val="center"/>
            <w:hideMark/>
          </w:tcPr>
          <w:p w14:paraId="2923D405" w14:textId="24A33A72" w:rsidR="00646F55" w:rsidRPr="00646F55" w:rsidRDefault="00646F55" w:rsidP="00646F55">
            <w:pPr>
              <w:jc w:val="center"/>
              <w:rPr>
                <w:rFonts w:ascii="Century Gothic" w:hAnsi="Century Gothic" w:cs="Times New Roman"/>
                <w:sz w:val="11"/>
                <w:szCs w:val="11"/>
                <w:lang w:val="en-US" w:eastAsia="es-ES_tradnl"/>
              </w:rPr>
            </w:pPr>
            <w:r w:rsidRPr="00646F55">
              <w:rPr>
                <w:rFonts w:ascii="Century Gothic" w:hAnsi="Century Gothic" w:cs="Times New Roman"/>
                <w:b/>
                <w:bCs/>
                <w:sz w:val="11"/>
                <w:szCs w:val="11"/>
                <w:lang w:eastAsia="es-ES_tradnl"/>
              </w:rPr>
              <w:t xml:space="preserve">Absoluto </w:t>
            </w:r>
            <w:r w:rsidR="003540AD">
              <w:rPr>
                <w:rFonts w:ascii="Century Gothic" w:hAnsi="Century Gothic" w:cs="Times New Roman"/>
                <w:b/>
                <w:bCs/>
                <w:sz w:val="11"/>
                <w:szCs w:val="11"/>
                <w:lang w:eastAsia="es-ES_tradnl"/>
              </w:rPr>
              <w:t>2020</w:t>
            </w:r>
          </w:p>
        </w:tc>
        <w:tc>
          <w:tcPr>
            <w:tcW w:w="0" w:type="auto"/>
            <w:shd w:val="clear" w:color="auto" w:fill="A8D08D" w:themeFill="accent6" w:themeFillTint="99"/>
            <w:tcMar>
              <w:top w:w="15" w:type="dxa"/>
              <w:left w:w="15" w:type="dxa"/>
              <w:bottom w:w="0" w:type="dxa"/>
              <w:right w:w="15" w:type="dxa"/>
            </w:tcMar>
            <w:vAlign w:val="center"/>
            <w:hideMark/>
          </w:tcPr>
          <w:p w14:paraId="5E897E1C" w14:textId="7000E816" w:rsidR="00646F55" w:rsidRPr="00646F55" w:rsidRDefault="00646F55" w:rsidP="00646F55">
            <w:pPr>
              <w:jc w:val="center"/>
              <w:rPr>
                <w:rFonts w:ascii="Century Gothic" w:hAnsi="Century Gothic" w:cs="Times New Roman"/>
                <w:sz w:val="11"/>
                <w:szCs w:val="11"/>
                <w:lang w:val="en-US" w:eastAsia="es-ES_tradnl"/>
              </w:rPr>
            </w:pPr>
            <w:r w:rsidRPr="00646F55">
              <w:rPr>
                <w:rFonts w:ascii="Century Gothic" w:hAnsi="Century Gothic" w:cs="Times New Roman"/>
                <w:b/>
                <w:bCs/>
                <w:sz w:val="11"/>
                <w:szCs w:val="11"/>
                <w:lang w:eastAsia="es-ES_tradnl"/>
              </w:rPr>
              <w:t xml:space="preserve">Relativo </w:t>
            </w:r>
            <w:r w:rsidR="003540AD">
              <w:rPr>
                <w:rFonts w:ascii="Century Gothic" w:hAnsi="Century Gothic" w:cs="Times New Roman"/>
                <w:b/>
                <w:bCs/>
                <w:sz w:val="11"/>
                <w:szCs w:val="11"/>
                <w:lang w:eastAsia="es-ES_tradnl"/>
              </w:rPr>
              <w:t>2020</w:t>
            </w:r>
          </w:p>
        </w:tc>
      </w:tr>
      <w:tr w:rsidR="00C63822" w:rsidRPr="00646F55" w14:paraId="165CE21A" w14:textId="77777777" w:rsidTr="00646F55">
        <w:trPr>
          <w:trHeight w:val="249"/>
        </w:trPr>
        <w:tc>
          <w:tcPr>
            <w:tcW w:w="0" w:type="auto"/>
            <w:shd w:val="clear" w:color="auto" w:fill="auto"/>
            <w:tcMar>
              <w:top w:w="15" w:type="dxa"/>
              <w:left w:w="15" w:type="dxa"/>
              <w:bottom w:w="0" w:type="dxa"/>
              <w:right w:w="15" w:type="dxa"/>
            </w:tcMar>
            <w:vAlign w:val="center"/>
          </w:tcPr>
          <w:p w14:paraId="000A0D29" w14:textId="77777777" w:rsidR="00C63822" w:rsidRPr="00646F55" w:rsidRDefault="00C63822" w:rsidP="00C63822">
            <w:pPr>
              <w:pStyle w:val="NormalWeb"/>
              <w:spacing w:before="0" w:beforeAutospacing="0" w:after="0" w:afterAutospacing="0"/>
              <w:jc w:val="center"/>
              <w:textAlignment w:val="center"/>
              <w:rPr>
                <w:rFonts w:ascii="Century Gothic" w:hAnsi="Century Gothic" w:cs="Arial"/>
                <w:sz w:val="12"/>
                <w:szCs w:val="36"/>
              </w:rPr>
            </w:pPr>
            <w:r w:rsidRPr="00646F55">
              <w:rPr>
                <w:rFonts w:ascii="Century Gothic" w:hAnsi="Century Gothic" w:cs="Arial"/>
                <w:color w:val="000000" w:themeColor="text1"/>
                <w:kern w:val="24"/>
                <w:sz w:val="12"/>
                <w:szCs w:val="22"/>
                <w:lang w:val="es-EC"/>
              </w:rPr>
              <w:t>Escorias de acería</w:t>
            </w:r>
          </w:p>
        </w:tc>
        <w:tc>
          <w:tcPr>
            <w:tcW w:w="0" w:type="auto"/>
            <w:shd w:val="clear" w:color="auto" w:fill="auto"/>
            <w:tcMar>
              <w:top w:w="15" w:type="dxa"/>
              <w:left w:w="15" w:type="dxa"/>
              <w:bottom w:w="0" w:type="dxa"/>
              <w:right w:w="15" w:type="dxa"/>
            </w:tcMar>
            <w:vAlign w:val="center"/>
          </w:tcPr>
          <w:p w14:paraId="1CA79A11" w14:textId="03551A31" w:rsidR="00C63822" w:rsidRPr="00646F55" w:rsidRDefault="00C63822" w:rsidP="00C63822">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11</w:t>
            </w:r>
          </w:p>
        </w:tc>
        <w:tc>
          <w:tcPr>
            <w:tcW w:w="0" w:type="auto"/>
            <w:shd w:val="clear" w:color="auto" w:fill="auto"/>
            <w:tcMar>
              <w:top w:w="15" w:type="dxa"/>
              <w:left w:w="15" w:type="dxa"/>
              <w:bottom w:w="0" w:type="dxa"/>
              <w:right w:w="15" w:type="dxa"/>
            </w:tcMar>
            <w:vAlign w:val="center"/>
          </w:tcPr>
          <w:p w14:paraId="64CE37AE" w14:textId="3527A209" w:rsidR="00C63822" w:rsidRPr="00646F55" w:rsidRDefault="00C63822" w:rsidP="00C63822">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sidRPr="00484EAC">
              <w:rPr>
                <w:rFonts w:ascii="Century Gothic" w:hAnsi="Century Gothic" w:cs="Arial"/>
                <w:color w:val="000000" w:themeColor="text1"/>
                <w:kern w:val="24"/>
                <w:sz w:val="12"/>
                <w:szCs w:val="22"/>
                <w:lang w:val="es-EC"/>
              </w:rPr>
              <w:t>40</w:t>
            </w:r>
            <w:r>
              <w:rPr>
                <w:rFonts w:ascii="Century Gothic" w:hAnsi="Century Gothic" w:cs="Arial"/>
                <w:color w:val="000000" w:themeColor="text1"/>
                <w:kern w:val="24"/>
                <w:sz w:val="12"/>
                <w:szCs w:val="22"/>
                <w:lang w:val="es-EC"/>
              </w:rPr>
              <w:t>,</w:t>
            </w:r>
            <w:r w:rsidRPr="00484EAC">
              <w:rPr>
                <w:rFonts w:ascii="Century Gothic" w:hAnsi="Century Gothic" w:cs="Arial"/>
                <w:color w:val="000000" w:themeColor="text1"/>
                <w:kern w:val="24"/>
                <w:sz w:val="12"/>
                <w:szCs w:val="22"/>
                <w:lang w:val="es-EC"/>
              </w:rPr>
              <w:t>80</w:t>
            </w:r>
          </w:p>
        </w:tc>
        <w:tc>
          <w:tcPr>
            <w:tcW w:w="0" w:type="auto"/>
            <w:shd w:val="clear" w:color="auto" w:fill="auto"/>
            <w:tcMar>
              <w:top w:w="15" w:type="dxa"/>
              <w:left w:w="15" w:type="dxa"/>
              <w:bottom w:w="0" w:type="dxa"/>
              <w:right w:w="15" w:type="dxa"/>
            </w:tcMar>
            <w:vAlign w:val="center"/>
          </w:tcPr>
          <w:p w14:paraId="563AF619" w14:textId="54B490B0" w:rsidR="00C63822" w:rsidRPr="00646F55" w:rsidRDefault="00C63822" w:rsidP="00C63822">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sidRPr="00484EAC">
              <w:rPr>
                <w:rFonts w:ascii="Century Gothic" w:hAnsi="Century Gothic" w:cs="Arial"/>
                <w:color w:val="000000" w:themeColor="text1"/>
                <w:kern w:val="24"/>
                <w:sz w:val="12"/>
                <w:szCs w:val="22"/>
                <w:lang w:val="es-EC"/>
              </w:rPr>
              <w:t>45</w:t>
            </w:r>
            <w:r>
              <w:rPr>
                <w:rFonts w:ascii="Century Gothic" w:hAnsi="Century Gothic" w:cs="Arial"/>
                <w:color w:val="000000" w:themeColor="text1"/>
                <w:kern w:val="24"/>
                <w:sz w:val="12"/>
                <w:szCs w:val="22"/>
                <w:lang w:val="es-EC"/>
              </w:rPr>
              <w:t>,</w:t>
            </w:r>
            <w:r w:rsidRPr="00484EAC">
              <w:rPr>
                <w:rFonts w:ascii="Century Gothic" w:hAnsi="Century Gothic" w:cs="Arial"/>
                <w:color w:val="000000" w:themeColor="text1"/>
                <w:kern w:val="24"/>
                <w:sz w:val="12"/>
                <w:szCs w:val="22"/>
                <w:lang w:val="es-EC"/>
              </w:rPr>
              <w:t>36%</w:t>
            </w:r>
          </w:p>
        </w:tc>
        <w:tc>
          <w:tcPr>
            <w:tcW w:w="0" w:type="auto"/>
            <w:shd w:val="clear" w:color="auto" w:fill="auto"/>
            <w:tcMar>
              <w:top w:w="15" w:type="dxa"/>
              <w:left w:w="15" w:type="dxa"/>
              <w:bottom w:w="0" w:type="dxa"/>
              <w:right w:w="15" w:type="dxa"/>
            </w:tcMar>
            <w:vAlign w:val="center"/>
          </w:tcPr>
          <w:p w14:paraId="2F00042F" w14:textId="4BF54ADA" w:rsidR="00C63822" w:rsidRPr="00646F55" w:rsidRDefault="005A5834" w:rsidP="00C63822">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23</w:t>
            </w:r>
          </w:p>
        </w:tc>
        <w:tc>
          <w:tcPr>
            <w:tcW w:w="0" w:type="auto"/>
            <w:shd w:val="clear" w:color="auto" w:fill="auto"/>
            <w:tcMar>
              <w:top w:w="15" w:type="dxa"/>
              <w:left w:w="15" w:type="dxa"/>
              <w:bottom w:w="0" w:type="dxa"/>
              <w:right w:w="15" w:type="dxa"/>
            </w:tcMar>
            <w:vAlign w:val="center"/>
          </w:tcPr>
          <w:p w14:paraId="2EAD5684" w14:textId="0D07243B" w:rsidR="00C63822" w:rsidRPr="00646F55" w:rsidRDefault="005A5834" w:rsidP="00C63822">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73,79</w:t>
            </w:r>
          </w:p>
        </w:tc>
        <w:tc>
          <w:tcPr>
            <w:tcW w:w="0" w:type="auto"/>
            <w:shd w:val="clear" w:color="auto" w:fill="auto"/>
            <w:tcMar>
              <w:top w:w="15" w:type="dxa"/>
              <w:left w:w="15" w:type="dxa"/>
              <w:bottom w:w="0" w:type="dxa"/>
              <w:right w:w="15" w:type="dxa"/>
            </w:tcMar>
            <w:vAlign w:val="center"/>
          </w:tcPr>
          <w:p w14:paraId="4ADCDED1" w14:textId="11249CF1" w:rsidR="00C63822" w:rsidRPr="00646F55" w:rsidRDefault="005A5834" w:rsidP="00C63822">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65,65</w:t>
            </w:r>
            <w:r w:rsidR="00F0058D">
              <w:rPr>
                <w:rFonts w:ascii="Century Gothic" w:hAnsi="Century Gothic" w:cs="Arial"/>
                <w:color w:val="000000" w:themeColor="text1"/>
                <w:kern w:val="24"/>
                <w:sz w:val="12"/>
                <w:szCs w:val="22"/>
                <w:lang w:val="es-EC"/>
              </w:rPr>
              <w:t>%</w:t>
            </w:r>
          </w:p>
        </w:tc>
      </w:tr>
      <w:tr w:rsidR="00665EC9" w:rsidRPr="00646F55" w14:paraId="3A52E6AD" w14:textId="77777777" w:rsidTr="00646F55">
        <w:trPr>
          <w:trHeight w:val="249"/>
        </w:trPr>
        <w:tc>
          <w:tcPr>
            <w:tcW w:w="0" w:type="auto"/>
            <w:shd w:val="clear" w:color="auto" w:fill="auto"/>
            <w:tcMar>
              <w:top w:w="15" w:type="dxa"/>
              <w:left w:w="15" w:type="dxa"/>
              <w:bottom w:w="0" w:type="dxa"/>
              <w:right w:w="15" w:type="dxa"/>
            </w:tcMar>
            <w:vAlign w:val="center"/>
          </w:tcPr>
          <w:p w14:paraId="48FEF5A5" w14:textId="3D9BB135" w:rsidR="00665EC9"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sidRPr="00646F55">
              <w:rPr>
                <w:rFonts w:ascii="Century Gothic" w:hAnsi="Century Gothic" w:cs="Arial"/>
                <w:color w:val="000000" w:themeColor="text1"/>
                <w:kern w:val="24"/>
                <w:sz w:val="12"/>
                <w:szCs w:val="22"/>
                <w:lang w:val="es-EC"/>
              </w:rPr>
              <w:t xml:space="preserve">Neumáticos usados </w:t>
            </w:r>
          </w:p>
        </w:tc>
        <w:tc>
          <w:tcPr>
            <w:tcW w:w="0" w:type="auto"/>
            <w:shd w:val="clear" w:color="auto" w:fill="auto"/>
            <w:tcMar>
              <w:top w:w="15" w:type="dxa"/>
              <w:left w:w="15" w:type="dxa"/>
              <w:bottom w:w="0" w:type="dxa"/>
              <w:right w:w="15" w:type="dxa"/>
            </w:tcMar>
            <w:vAlign w:val="center"/>
          </w:tcPr>
          <w:p w14:paraId="7822A842" w14:textId="18EA0C09" w:rsidR="00665EC9"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8.273</w:t>
            </w:r>
          </w:p>
        </w:tc>
        <w:tc>
          <w:tcPr>
            <w:tcW w:w="0" w:type="auto"/>
            <w:shd w:val="clear" w:color="auto" w:fill="auto"/>
            <w:tcMar>
              <w:top w:w="15" w:type="dxa"/>
              <w:left w:w="15" w:type="dxa"/>
              <w:bottom w:w="0" w:type="dxa"/>
              <w:right w:w="15" w:type="dxa"/>
            </w:tcMar>
            <w:vAlign w:val="center"/>
          </w:tcPr>
          <w:p w14:paraId="649DECB4" w14:textId="65DC6E37" w:rsidR="00665EC9" w:rsidRPr="00484EAC"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sidRPr="00484EAC">
              <w:rPr>
                <w:rFonts w:ascii="Century Gothic" w:hAnsi="Century Gothic" w:cs="Arial"/>
                <w:color w:val="000000" w:themeColor="text1"/>
                <w:kern w:val="24"/>
                <w:sz w:val="12"/>
                <w:szCs w:val="22"/>
                <w:lang w:val="es-EC"/>
              </w:rPr>
              <w:t>44</w:t>
            </w:r>
            <w:r>
              <w:rPr>
                <w:rFonts w:ascii="Century Gothic" w:hAnsi="Century Gothic" w:cs="Arial"/>
                <w:color w:val="000000" w:themeColor="text1"/>
                <w:kern w:val="24"/>
                <w:sz w:val="12"/>
                <w:szCs w:val="22"/>
                <w:lang w:val="es-EC"/>
              </w:rPr>
              <w:t>,</w:t>
            </w:r>
            <w:r w:rsidRPr="00484EAC">
              <w:rPr>
                <w:rFonts w:ascii="Century Gothic" w:hAnsi="Century Gothic" w:cs="Arial"/>
                <w:color w:val="000000" w:themeColor="text1"/>
                <w:kern w:val="24"/>
                <w:sz w:val="12"/>
                <w:szCs w:val="22"/>
                <w:lang w:val="es-EC"/>
              </w:rPr>
              <w:t>84</w:t>
            </w:r>
          </w:p>
        </w:tc>
        <w:tc>
          <w:tcPr>
            <w:tcW w:w="0" w:type="auto"/>
            <w:shd w:val="clear" w:color="auto" w:fill="auto"/>
            <w:tcMar>
              <w:top w:w="15" w:type="dxa"/>
              <w:left w:w="15" w:type="dxa"/>
              <w:bottom w:w="0" w:type="dxa"/>
              <w:right w:w="15" w:type="dxa"/>
            </w:tcMar>
            <w:vAlign w:val="center"/>
          </w:tcPr>
          <w:p w14:paraId="198E91A1" w14:textId="547D0F9E" w:rsidR="00665EC9" w:rsidRPr="00484EAC"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sidRPr="00484EAC">
              <w:rPr>
                <w:rFonts w:ascii="Century Gothic" w:hAnsi="Century Gothic" w:cs="Arial"/>
                <w:color w:val="000000" w:themeColor="text1"/>
                <w:kern w:val="24"/>
                <w:sz w:val="12"/>
                <w:szCs w:val="22"/>
                <w:lang w:val="es-EC"/>
              </w:rPr>
              <w:t>49</w:t>
            </w:r>
            <w:r>
              <w:rPr>
                <w:rFonts w:ascii="Century Gothic" w:hAnsi="Century Gothic" w:cs="Arial"/>
                <w:color w:val="000000" w:themeColor="text1"/>
                <w:kern w:val="24"/>
                <w:sz w:val="12"/>
                <w:szCs w:val="22"/>
                <w:lang w:val="es-EC"/>
              </w:rPr>
              <w:t>,</w:t>
            </w:r>
            <w:r w:rsidRPr="00484EAC">
              <w:rPr>
                <w:rFonts w:ascii="Century Gothic" w:hAnsi="Century Gothic" w:cs="Arial"/>
                <w:color w:val="000000" w:themeColor="text1"/>
                <w:kern w:val="24"/>
                <w:sz w:val="12"/>
                <w:szCs w:val="22"/>
                <w:lang w:val="es-EC"/>
              </w:rPr>
              <w:t>84%</w:t>
            </w:r>
          </w:p>
        </w:tc>
        <w:tc>
          <w:tcPr>
            <w:tcW w:w="0" w:type="auto"/>
            <w:shd w:val="clear" w:color="auto" w:fill="auto"/>
            <w:tcMar>
              <w:top w:w="15" w:type="dxa"/>
              <w:left w:w="15" w:type="dxa"/>
              <w:bottom w:w="0" w:type="dxa"/>
              <w:right w:w="15" w:type="dxa"/>
            </w:tcMar>
            <w:vAlign w:val="center"/>
          </w:tcPr>
          <w:p w14:paraId="0D7597F8" w14:textId="5CCCFFDB" w:rsidR="00665EC9"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9.257</w:t>
            </w:r>
          </w:p>
        </w:tc>
        <w:tc>
          <w:tcPr>
            <w:tcW w:w="0" w:type="auto"/>
            <w:shd w:val="clear" w:color="auto" w:fill="auto"/>
            <w:tcMar>
              <w:top w:w="15" w:type="dxa"/>
              <w:left w:w="15" w:type="dxa"/>
              <w:bottom w:w="0" w:type="dxa"/>
              <w:right w:w="15" w:type="dxa"/>
            </w:tcMar>
            <w:vAlign w:val="center"/>
          </w:tcPr>
          <w:p w14:paraId="7353CDB2" w14:textId="3F805E22" w:rsidR="00665EC9"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26,85</w:t>
            </w:r>
          </w:p>
        </w:tc>
        <w:tc>
          <w:tcPr>
            <w:tcW w:w="0" w:type="auto"/>
            <w:shd w:val="clear" w:color="auto" w:fill="auto"/>
            <w:tcMar>
              <w:top w:w="15" w:type="dxa"/>
              <w:left w:w="15" w:type="dxa"/>
              <w:bottom w:w="0" w:type="dxa"/>
              <w:right w:w="15" w:type="dxa"/>
            </w:tcMar>
            <w:vAlign w:val="center"/>
          </w:tcPr>
          <w:p w14:paraId="7107263D" w14:textId="3AA81592" w:rsidR="00665EC9"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23,89%</w:t>
            </w:r>
          </w:p>
        </w:tc>
      </w:tr>
      <w:tr w:rsidR="00665EC9" w:rsidRPr="00646F55" w14:paraId="37A7C09E" w14:textId="77777777" w:rsidTr="00646F55">
        <w:trPr>
          <w:trHeight w:val="249"/>
        </w:trPr>
        <w:tc>
          <w:tcPr>
            <w:tcW w:w="0" w:type="auto"/>
            <w:shd w:val="clear" w:color="auto" w:fill="auto"/>
            <w:tcMar>
              <w:top w:w="15" w:type="dxa"/>
              <w:left w:w="15" w:type="dxa"/>
              <w:bottom w:w="0" w:type="dxa"/>
              <w:right w:w="15" w:type="dxa"/>
            </w:tcMar>
            <w:vAlign w:val="center"/>
          </w:tcPr>
          <w:p w14:paraId="045AC1B0" w14:textId="3302C3E1" w:rsidR="00665EC9" w:rsidRPr="00646F55" w:rsidRDefault="00665EC9" w:rsidP="00665EC9">
            <w:pPr>
              <w:pStyle w:val="NormalWeb"/>
              <w:spacing w:before="0" w:beforeAutospacing="0" w:after="0" w:afterAutospacing="0"/>
              <w:jc w:val="center"/>
              <w:textAlignment w:val="center"/>
              <w:rPr>
                <w:rFonts w:ascii="Century Gothic" w:hAnsi="Century Gothic" w:cs="Arial"/>
                <w:sz w:val="12"/>
                <w:szCs w:val="36"/>
              </w:rPr>
            </w:pPr>
            <w:r>
              <w:rPr>
                <w:rFonts w:ascii="Century Gothic" w:hAnsi="Century Gothic" w:cs="Arial"/>
                <w:color w:val="000000" w:themeColor="text1"/>
                <w:kern w:val="24"/>
                <w:sz w:val="12"/>
                <w:szCs w:val="22"/>
                <w:lang w:val="es-EC"/>
              </w:rPr>
              <w:t>Envases vacíos de agroquímicos con triple lavado</w:t>
            </w:r>
          </w:p>
        </w:tc>
        <w:tc>
          <w:tcPr>
            <w:tcW w:w="0" w:type="auto"/>
            <w:shd w:val="clear" w:color="auto" w:fill="auto"/>
            <w:tcMar>
              <w:top w:w="15" w:type="dxa"/>
              <w:left w:w="15" w:type="dxa"/>
              <w:bottom w:w="0" w:type="dxa"/>
              <w:right w:w="15" w:type="dxa"/>
            </w:tcMar>
            <w:vAlign w:val="center"/>
          </w:tcPr>
          <w:p w14:paraId="28C51FEE" w14:textId="6B91BB3A"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83</w:t>
            </w:r>
          </w:p>
        </w:tc>
        <w:tc>
          <w:tcPr>
            <w:tcW w:w="0" w:type="auto"/>
            <w:shd w:val="clear" w:color="auto" w:fill="auto"/>
            <w:tcMar>
              <w:top w:w="15" w:type="dxa"/>
              <w:left w:w="15" w:type="dxa"/>
              <w:bottom w:w="0" w:type="dxa"/>
              <w:right w:w="15" w:type="dxa"/>
            </w:tcMar>
            <w:vAlign w:val="center"/>
          </w:tcPr>
          <w:p w14:paraId="2D66C0A2" w14:textId="64000552"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sidRPr="00484EAC">
              <w:rPr>
                <w:rFonts w:ascii="Century Gothic" w:hAnsi="Century Gothic" w:cs="Arial"/>
                <w:color w:val="000000" w:themeColor="text1"/>
                <w:kern w:val="24"/>
                <w:sz w:val="12"/>
                <w:szCs w:val="22"/>
                <w:lang w:val="es-EC"/>
              </w:rPr>
              <w:t>2</w:t>
            </w:r>
            <w:r>
              <w:rPr>
                <w:rFonts w:ascii="Century Gothic" w:hAnsi="Century Gothic" w:cs="Arial"/>
                <w:color w:val="000000" w:themeColor="text1"/>
                <w:kern w:val="24"/>
                <w:sz w:val="12"/>
                <w:szCs w:val="22"/>
                <w:lang w:val="es-EC"/>
              </w:rPr>
              <w:t>,</w:t>
            </w:r>
            <w:r w:rsidRPr="00484EAC">
              <w:rPr>
                <w:rFonts w:ascii="Century Gothic" w:hAnsi="Century Gothic" w:cs="Arial"/>
                <w:color w:val="000000" w:themeColor="text1"/>
                <w:kern w:val="24"/>
                <w:sz w:val="12"/>
                <w:szCs w:val="22"/>
                <w:lang w:val="es-EC"/>
              </w:rPr>
              <w:t>06</w:t>
            </w:r>
          </w:p>
        </w:tc>
        <w:tc>
          <w:tcPr>
            <w:tcW w:w="0" w:type="auto"/>
            <w:shd w:val="clear" w:color="auto" w:fill="auto"/>
            <w:tcMar>
              <w:top w:w="15" w:type="dxa"/>
              <w:left w:w="15" w:type="dxa"/>
              <w:bottom w:w="0" w:type="dxa"/>
              <w:right w:w="15" w:type="dxa"/>
            </w:tcMar>
            <w:vAlign w:val="center"/>
          </w:tcPr>
          <w:p w14:paraId="59F8D227" w14:textId="54A0D997"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sidRPr="00484EAC">
              <w:rPr>
                <w:rFonts w:ascii="Century Gothic" w:hAnsi="Century Gothic" w:cs="Arial"/>
                <w:color w:val="000000" w:themeColor="text1"/>
                <w:kern w:val="24"/>
                <w:sz w:val="12"/>
                <w:szCs w:val="22"/>
                <w:lang w:val="es-EC"/>
              </w:rPr>
              <w:t>2</w:t>
            </w:r>
            <w:r>
              <w:rPr>
                <w:rFonts w:ascii="Century Gothic" w:hAnsi="Century Gothic" w:cs="Arial"/>
                <w:color w:val="000000" w:themeColor="text1"/>
                <w:kern w:val="24"/>
                <w:sz w:val="12"/>
                <w:szCs w:val="22"/>
                <w:lang w:val="es-EC"/>
              </w:rPr>
              <w:t>,</w:t>
            </w:r>
            <w:r w:rsidRPr="00484EAC">
              <w:rPr>
                <w:rFonts w:ascii="Century Gothic" w:hAnsi="Century Gothic" w:cs="Arial"/>
                <w:color w:val="000000" w:themeColor="text1"/>
                <w:kern w:val="24"/>
                <w:sz w:val="12"/>
                <w:szCs w:val="22"/>
                <w:lang w:val="es-EC"/>
              </w:rPr>
              <w:t>28%</w:t>
            </w:r>
          </w:p>
        </w:tc>
        <w:tc>
          <w:tcPr>
            <w:tcW w:w="0" w:type="auto"/>
            <w:shd w:val="clear" w:color="auto" w:fill="auto"/>
            <w:tcMar>
              <w:top w:w="15" w:type="dxa"/>
              <w:left w:w="15" w:type="dxa"/>
              <w:bottom w:w="0" w:type="dxa"/>
              <w:right w:w="15" w:type="dxa"/>
            </w:tcMar>
            <w:vAlign w:val="center"/>
          </w:tcPr>
          <w:p w14:paraId="39A31110" w14:textId="2AD62341"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101</w:t>
            </w:r>
          </w:p>
        </w:tc>
        <w:tc>
          <w:tcPr>
            <w:tcW w:w="0" w:type="auto"/>
            <w:shd w:val="clear" w:color="auto" w:fill="auto"/>
            <w:tcMar>
              <w:top w:w="15" w:type="dxa"/>
              <w:left w:w="15" w:type="dxa"/>
              <w:bottom w:w="0" w:type="dxa"/>
              <w:right w:w="15" w:type="dxa"/>
            </w:tcMar>
            <w:vAlign w:val="center"/>
          </w:tcPr>
          <w:p w14:paraId="3FD2660F" w14:textId="0C8EF4F8"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7,64</w:t>
            </w:r>
          </w:p>
        </w:tc>
        <w:tc>
          <w:tcPr>
            <w:tcW w:w="0" w:type="auto"/>
            <w:shd w:val="clear" w:color="auto" w:fill="auto"/>
            <w:tcMar>
              <w:top w:w="15" w:type="dxa"/>
              <w:left w:w="15" w:type="dxa"/>
              <w:bottom w:w="0" w:type="dxa"/>
              <w:right w:w="15" w:type="dxa"/>
            </w:tcMar>
            <w:vAlign w:val="center"/>
          </w:tcPr>
          <w:p w14:paraId="05A21FB9" w14:textId="44A58AAA"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6,79%</w:t>
            </w:r>
          </w:p>
        </w:tc>
      </w:tr>
      <w:tr w:rsidR="00665EC9" w:rsidRPr="00646F55" w14:paraId="3195C7CB" w14:textId="77777777" w:rsidTr="00646F55">
        <w:trPr>
          <w:trHeight w:val="243"/>
        </w:trPr>
        <w:tc>
          <w:tcPr>
            <w:tcW w:w="0" w:type="auto"/>
            <w:shd w:val="clear" w:color="auto" w:fill="auto"/>
            <w:tcMar>
              <w:top w:w="15" w:type="dxa"/>
              <w:left w:w="15" w:type="dxa"/>
              <w:bottom w:w="0" w:type="dxa"/>
              <w:right w:w="15" w:type="dxa"/>
            </w:tcMar>
            <w:vAlign w:val="center"/>
          </w:tcPr>
          <w:p w14:paraId="39954105" w14:textId="2F25A5A4" w:rsidR="00665EC9" w:rsidRPr="00646F55" w:rsidRDefault="00665EC9" w:rsidP="00665EC9">
            <w:pPr>
              <w:pStyle w:val="NormalWeb"/>
              <w:spacing w:before="0" w:beforeAutospacing="0" w:after="0" w:afterAutospacing="0"/>
              <w:jc w:val="center"/>
              <w:textAlignment w:val="center"/>
              <w:rPr>
                <w:rFonts w:ascii="Century Gothic" w:hAnsi="Century Gothic" w:cs="Arial"/>
                <w:sz w:val="12"/>
                <w:szCs w:val="36"/>
              </w:rPr>
            </w:pPr>
            <w:r>
              <w:rPr>
                <w:rFonts w:ascii="Century Gothic" w:hAnsi="Century Gothic" w:cs="Arial"/>
                <w:color w:val="000000" w:themeColor="text1"/>
                <w:kern w:val="24"/>
                <w:sz w:val="12"/>
                <w:szCs w:val="22"/>
                <w:lang w:val="es-EC"/>
              </w:rPr>
              <w:t>Fundas biflex, corbatines y protectores usados</w:t>
            </w:r>
          </w:p>
        </w:tc>
        <w:tc>
          <w:tcPr>
            <w:tcW w:w="0" w:type="auto"/>
            <w:shd w:val="clear" w:color="auto" w:fill="auto"/>
            <w:tcMar>
              <w:top w:w="15" w:type="dxa"/>
              <w:left w:w="15" w:type="dxa"/>
              <w:bottom w:w="0" w:type="dxa"/>
              <w:right w:w="15" w:type="dxa"/>
            </w:tcMar>
            <w:vAlign w:val="center"/>
          </w:tcPr>
          <w:p w14:paraId="2DEC2B91" w14:textId="64F2C8E5" w:rsidR="00665EC9" w:rsidRPr="001416E8"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rPr>
            </w:pPr>
            <w:r>
              <w:rPr>
                <w:rFonts w:ascii="Century Gothic" w:hAnsi="Century Gothic" w:cs="Arial"/>
                <w:color w:val="000000" w:themeColor="text1"/>
                <w:kern w:val="24"/>
                <w:sz w:val="12"/>
                <w:szCs w:val="22"/>
              </w:rPr>
              <w:t>18</w:t>
            </w:r>
          </w:p>
        </w:tc>
        <w:tc>
          <w:tcPr>
            <w:tcW w:w="0" w:type="auto"/>
            <w:shd w:val="clear" w:color="auto" w:fill="auto"/>
            <w:tcMar>
              <w:top w:w="15" w:type="dxa"/>
              <w:left w:w="15" w:type="dxa"/>
              <w:bottom w:w="0" w:type="dxa"/>
              <w:right w:w="15" w:type="dxa"/>
            </w:tcMar>
            <w:vAlign w:val="center"/>
          </w:tcPr>
          <w:p w14:paraId="58502FD8" w14:textId="439F8C32"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0,16</w:t>
            </w:r>
          </w:p>
        </w:tc>
        <w:tc>
          <w:tcPr>
            <w:tcW w:w="0" w:type="auto"/>
            <w:shd w:val="clear" w:color="auto" w:fill="auto"/>
            <w:tcMar>
              <w:top w:w="15" w:type="dxa"/>
              <w:left w:w="15" w:type="dxa"/>
              <w:bottom w:w="0" w:type="dxa"/>
              <w:right w:w="15" w:type="dxa"/>
            </w:tcMar>
            <w:vAlign w:val="center"/>
          </w:tcPr>
          <w:p w14:paraId="174846F7" w14:textId="04539036"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0,18%</w:t>
            </w:r>
          </w:p>
        </w:tc>
        <w:tc>
          <w:tcPr>
            <w:tcW w:w="0" w:type="auto"/>
            <w:shd w:val="clear" w:color="auto" w:fill="auto"/>
            <w:tcMar>
              <w:top w:w="15" w:type="dxa"/>
              <w:left w:w="15" w:type="dxa"/>
              <w:bottom w:w="0" w:type="dxa"/>
              <w:right w:w="15" w:type="dxa"/>
            </w:tcMar>
            <w:vAlign w:val="center"/>
          </w:tcPr>
          <w:p w14:paraId="4AD72EDF" w14:textId="5A3D6222"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44</w:t>
            </w:r>
          </w:p>
        </w:tc>
        <w:tc>
          <w:tcPr>
            <w:tcW w:w="0" w:type="auto"/>
            <w:shd w:val="clear" w:color="auto" w:fill="auto"/>
            <w:tcMar>
              <w:top w:w="15" w:type="dxa"/>
              <w:left w:w="15" w:type="dxa"/>
              <w:bottom w:w="0" w:type="dxa"/>
              <w:right w:w="15" w:type="dxa"/>
            </w:tcMar>
            <w:vAlign w:val="center"/>
          </w:tcPr>
          <w:p w14:paraId="3C2E033E" w14:textId="68140904"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1,42</w:t>
            </w:r>
          </w:p>
        </w:tc>
        <w:tc>
          <w:tcPr>
            <w:tcW w:w="0" w:type="auto"/>
            <w:shd w:val="clear" w:color="auto" w:fill="auto"/>
            <w:tcMar>
              <w:top w:w="15" w:type="dxa"/>
              <w:left w:w="15" w:type="dxa"/>
              <w:bottom w:w="0" w:type="dxa"/>
              <w:right w:w="15" w:type="dxa"/>
            </w:tcMar>
            <w:vAlign w:val="center"/>
          </w:tcPr>
          <w:p w14:paraId="4C3F4062" w14:textId="1DC56FAE"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1,27%</w:t>
            </w:r>
          </w:p>
        </w:tc>
      </w:tr>
      <w:tr w:rsidR="00665EC9" w:rsidRPr="00646F55" w14:paraId="1E830CF1" w14:textId="77777777" w:rsidTr="00646F55">
        <w:trPr>
          <w:trHeight w:val="246"/>
        </w:trPr>
        <w:tc>
          <w:tcPr>
            <w:tcW w:w="0" w:type="auto"/>
            <w:shd w:val="clear" w:color="auto" w:fill="auto"/>
            <w:tcMar>
              <w:top w:w="15" w:type="dxa"/>
              <w:left w:w="15" w:type="dxa"/>
              <w:bottom w:w="0" w:type="dxa"/>
              <w:right w:w="15" w:type="dxa"/>
            </w:tcMar>
            <w:vAlign w:val="center"/>
          </w:tcPr>
          <w:p w14:paraId="5A1E8891" w14:textId="77777777"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sidRPr="00646F55">
              <w:rPr>
                <w:rFonts w:ascii="Century Gothic" w:hAnsi="Century Gothic" w:cs="Arial"/>
                <w:color w:val="000000" w:themeColor="text1"/>
                <w:kern w:val="24"/>
                <w:sz w:val="12"/>
                <w:szCs w:val="22"/>
                <w:lang w:val="es-EC"/>
              </w:rPr>
              <w:t>Otros desechos especiales</w:t>
            </w:r>
          </w:p>
        </w:tc>
        <w:tc>
          <w:tcPr>
            <w:tcW w:w="0" w:type="auto"/>
            <w:shd w:val="clear" w:color="auto" w:fill="auto"/>
            <w:tcMar>
              <w:top w:w="15" w:type="dxa"/>
              <w:left w:w="15" w:type="dxa"/>
              <w:bottom w:w="0" w:type="dxa"/>
              <w:right w:w="15" w:type="dxa"/>
            </w:tcMar>
            <w:vAlign w:val="center"/>
          </w:tcPr>
          <w:p w14:paraId="606A0A00" w14:textId="66206FE2"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236</w:t>
            </w:r>
          </w:p>
        </w:tc>
        <w:tc>
          <w:tcPr>
            <w:tcW w:w="0" w:type="auto"/>
            <w:shd w:val="clear" w:color="auto" w:fill="auto"/>
            <w:tcMar>
              <w:top w:w="15" w:type="dxa"/>
              <w:left w:w="15" w:type="dxa"/>
              <w:bottom w:w="0" w:type="dxa"/>
              <w:right w:w="15" w:type="dxa"/>
            </w:tcMar>
            <w:vAlign w:val="center"/>
          </w:tcPr>
          <w:p w14:paraId="5F0E8E58" w14:textId="398BBA28"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sidRPr="00484EAC">
              <w:rPr>
                <w:rFonts w:ascii="Century Gothic" w:hAnsi="Century Gothic" w:cs="Arial"/>
                <w:color w:val="000000" w:themeColor="text1"/>
                <w:kern w:val="24"/>
                <w:sz w:val="12"/>
                <w:szCs w:val="22"/>
                <w:lang w:val="es-EC"/>
              </w:rPr>
              <w:t>1</w:t>
            </w:r>
            <w:r>
              <w:rPr>
                <w:rFonts w:ascii="Century Gothic" w:hAnsi="Century Gothic" w:cs="Arial"/>
                <w:color w:val="000000" w:themeColor="text1"/>
                <w:kern w:val="24"/>
                <w:sz w:val="12"/>
                <w:szCs w:val="22"/>
                <w:lang w:val="es-EC"/>
              </w:rPr>
              <w:t>,</w:t>
            </w:r>
            <w:r w:rsidRPr="00484EAC">
              <w:rPr>
                <w:rFonts w:ascii="Century Gothic" w:hAnsi="Century Gothic" w:cs="Arial"/>
                <w:color w:val="000000" w:themeColor="text1"/>
                <w:kern w:val="24"/>
                <w:sz w:val="12"/>
                <w:szCs w:val="22"/>
                <w:lang w:val="es-EC"/>
              </w:rPr>
              <w:t>07</w:t>
            </w:r>
          </w:p>
        </w:tc>
        <w:tc>
          <w:tcPr>
            <w:tcW w:w="0" w:type="auto"/>
            <w:shd w:val="clear" w:color="auto" w:fill="auto"/>
            <w:tcMar>
              <w:top w:w="15" w:type="dxa"/>
              <w:left w:w="15" w:type="dxa"/>
              <w:bottom w:w="0" w:type="dxa"/>
              <w:right w:w="15" w:type="dxa"/>
            </w:tcMar>
            <w:vAlign w:val="center"/>
          </w:tcPr>
          <w:p w14:paraId="4C77B8D5" w14:textId="59E531DD"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sidRPr="00484EAC">
              <w:rPr>
                <w:rFonts w:ascii="Century Gothic" w:hAnsi="Century Gothic" w:cs="Arial"/>
                <w:color w:val="000000" w:themeColor="text1"/>
                <w:kern w:val="24"/>
                <w:sz w:val="12"/>
                <w:szCs w:val="22"/>
                <w:lang w:val="es-EC"/>
              </w:rPr>
              <w:t>1</w:t>
            </w:r>
            <w:r>
              <w:rPr>
                <w:rFonts w:ascii="Century Gothic" w:hAnsi="Century Gothic" w:cs="Arial"/>
                <w:color w:val="000000" w:themeColor="text1"/>
                <w:kern w:val="24"/>
                <w:sz w:val="12"/>
                <w:szCs w:val="22"/>
                <w:lang w:val="es-EC"/>
              </w:rPr>
              <w:t>,</w:t>
            </w:r>
            <w:r w:rsidRPr="00484EAC">
              <w:rPr>
                <w:rFonts w:ascii="Century Gothic" w:hAnsi="Century Gothic" w:cs="Arial"/>
                <w:color w:val="000000" w:themeColor="text1"/>
                <w:kern w:val="24"/>
                <w:sz w:val="12"/>
                <w:szCs w:val="22"/>
                <w:lang w:val="es-EC"/>
              </w:rPr>
              <w:t>19%</w:t>
            </w:r>
          </w:p>
        </w:tc>
        <w:tc>
          <w:tcPr>
            <w:tcW w:w="0" w:type="auto"/>
            <w:shd w:val="clear" w:color="auto" w:fill="auto"/>
            <w:tcMar>
              <w:top w:w="15" w:type="dxa"/>
              <w:left w:w="15" w:type="dxa"/>
              <w:bottom w:w="0" w:type="dxa"/>
              <w:right w:w="15" w:type="dxa"/>
            </w:tcMar>
            <w:vAlign w:val="center"/>
          </w:tcPr>
          <w:p w14:paraId="27FAAEAE" w14:textId="76752D6F"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307</w:t>
            </w:r>
          </w:p>
        </w:tc>
        <w:tc>
          <w:tcPr>
            <w:tcW w:w="0" w:type="auto"/>
            <w:shd w:val="clear" w:color="auto" w:fill="auto"/>
            <w:tcMar>
              <w:top w:w="15" w:type="dxa"/>
              <w:left w:w="15" w:type="dxa"/>
              <w:bottom w:w="0" w:type="dxa"/>
              <w:right w:w="15" w:type="dxa"/>
            </w:tcMar>
            <w:vAlign w:val="center"/>
          </w:tcPr>
          <w:p w14:paraId="570C00E2" w14:textId="666BD316"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2,70</w:t>
            </w:r>
          </w:p>
        </w:tc>
        <w:tc>
          <w:tcPr>
            <w:tcW w:w="0" w:type="auto"/>
            <w:shd w:val="clear" w:color="auto" w:fill="auto"/>
            <w:tcMar>
              <w:top w:w="15" w:type="dxa"/>
              <w:left w:w="15" w:type="dxa"/>
              <w:bottom w:w="0" w:type="dxa"/>
              <w:right w:w="15" w:type="dxa"/>
            </w:tcMar>
            <w:vAlign w:val="center"/>
          </w:tcPr>
          <w:p w14:paraId="028AB65F" w14:textId="3A5A2A79" w:rsidR="00665EC9" w:rsidRPr="00646F55" w:rsidRDefault="00665EC9" w:rsidP="00665EC9">
            <w:pPr>
              <w:pStyle w:val="NormalWeb"/>
              <w:spacing w:before="0" w:beforeAutospacing="0" w:after="0" w:afterAutospacing="0"/>
              <w:jc w:val="center"/>
              <w:textAlignment w:val="center"/>
              <w:rPr>
                <w:rFonts w:ascii="Century Gothic" w:hAnsi="Century Gothic" w:cs="Arial"/>
                <w:color w:val="000000" w:themeColor="text1"/>
                <w:kern w:val="24"/>
                <w:sz w:val="12"/>
                <w:szCs w:val="22"/>
                <w:lang w:val="es-EC"/>
              </w:rPr>
            </w:pPr>
            <w:r>
              <w:rPr>
                <w:rFonts w:ascii="Century Gothic" w:hAnsi="Century Gothic" w:cs="Arial"/>
                <w:color w:val="000000" w:themeColor="text1"/>
                <w:kern w:val="24"/>
                <w:sz w:val="12"/>
                <w:szCs w:val="22"/>
                <w:lang w:val="es-EC"/>
              </w:rPr>
              <w:t>2,40%</w:t>
            </w:r>
          </w:p>
        </w:tc>
      </w:tr>
    </w:tbl>
    <w:p w14:paraId="24943666" w14:textId="77777777" w:rsidR="00646F55" w:rsidRPr="00646F55" w:rsidRDefault="00646F55" w:rsidP="00646F55">
      <w:pPr>
        <w:jc w:val="both"/>
        <w:rPr>
          <w:rFonts w:ascii="Century Gothic" w:hAnsi="Century Gothic" w:cs="Calibri"/>
          <w:b/>
          <w:color w:val="404040" w:themeColor="text1" w:themeTint="BF"/>
          <w:sz w:val="14"/>
          <w:szCs w:val="14"/>
        </w:rPr>
      </w:pPr>
    </w:p>
    <w:p w14:paraId="64F79E0D" w14:textId="1143D27B"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Fuente:</w:t>
      </w:r>
      <w:r w:rsidRPr="00646F55">
        <w:rPr>
          <w:rFonts w:ascii="Century Gothic" w:hAnsi="Century Gothic" w:cs="Calibri"/>
          <w:color w:val="404040" w:themeColor="text1" w:themeTint="BF"/>
          <w:sz w:val="14"/>
          <w:szCs w:val="14"/>
        </w:rPr>
        <w:t xml:space="preserve"> Módulo Ambiental </w:t>
      </w:r>
      <w:r w:rsidR="004244DA">
        <w:rPr>
          <w:rFonts w:ascii="Century Gothic" w:hAnsi="Century Gothic" w:cs="Calibri"/>
          <w:color w:val="404040" w:themeColor="text1" w:themeTint="BF"/>
          <w:sz w:val="14"/>
          <w:szCs w:val="14"/>
        </w:rPr>
        <w:t xml:space="preserve">Económica </w:t>
      </w:r>
      <w:r w:rsidRPr="00646F55">
        <w:rPr>
          <w:rFonts w:ascii="Century Gothic" w:hAnsi="Century Gothic" w:cs="Calibri"/>
          <w:color w:val="404040" w:themeColor="text1" w:themeTint="BF"/>
          <w:sz w:val="14"/>
          <w:szCs w:val="14"/>
        </w:rPr>
        <w:t xml:space="preserve">ENESEM </w:t>
      </w:r>
      <w:r w:rsidR="003540AD">
        <w:rPr>
          <w:rFonts w:ascii="Century Gothic" w:hAnsi="Century Gothic" w:cs="Calibri"/>
          <w:color w:val="404040" w:themeColor="text1" w:themeTint="BF"/>
          <w:sz w:val="14"/>
          <w:szCs w:val="14"/>
        </w:rPr>
        <w:t>20</w:t>
      </w:r>
      <w:r w:rsidR="00F0058D">
        <w:rPr>
          <w:rFonts w:ascii="Century Gothic" w:hAnsi="Century Gothic" w:cs="Calibri"/>
          <w:color w:val="404040" w:themeColor="text1" w:themeTint="BF"/>
          <w:sz w:val="14"/>
          <w:szCs w:val="14"/>
        </w:rPr>
        <w:t>20</w:t>
      </w:r>
      <w:r w:rsidRPr="00646F55">
        <w:rPr>
          <w:rFonts w:ascii="Century Gothic" w:hAnsi="Century Gothic" w:cs="Calibri"/>
          <w:color w:val="404040" w:themeColor="text1" w:themeTint="BF"/>
          <w:sz w:val="14"/>
          <w:szCs w:val="14"/>
        </w:rPr>
        <w:t>-</w:t>
      </w:r>
      <w:r w:rsidR="003540AD">
        <w:rPr>
          <w:rFonts w:ascii="Century Gothic" w:hAnsi="Century Gothic" w:cs="Calibri"/>
          <w:color w:val="404040" w:themeColor="text1" w:themeTint="BF"/>
          <w:sz w:val="14"/>
          <w:szCs w:val="14"/>
        </w:rPr>
        <w:t>202</w:t>
      </w:r>
      <w:r w:rsidR="00F0058D">
        <w:rPr>
          <w:rFonts w:ascii="Century Gothic" w:hAnsi="Century Gothic" w:cs="Calibri"/>
          <w:color w:val="404040" w:themeColor="text1" w:themeTint="BF"/>
          <w:sz w:val="14"/>
          <w:szCs w:val="14"/>
        </w:rPr>
        <w:t>1</w:t>
      </w:r>
      <w:r w:rsidRPr="00646F55">
        <w:rPr>
          <w:rFonts w:ascii="Century Gothic" w:hAnsi="Century Gothic" w:cs="Calibri"/>
          <w:color w:val="404040" w:themeColor="text1" w:themeTint="BF"/>
          <w:sz w:val="14"/>
          <w:szCs w:val="14"/>
        </w:rPr>
        <w:t>.</w:t>
      </w:r>
    </w:p>
    <w:p w14:paraId="0A773F01" w14:textId="5B4365FD" w:rsidR="00646F55" w:rsidRDefault="00646F55" w:rsidP="00646F55">
      <w:pPr>
        <w:jc w:val="both"/>
        <w:rPr>
          <w:rFonts w:ascii="Century Gothic" w:hAnsi="Century Gothic" w:cs="Calibri"/>
          <w:color w:val="404040" w:themeColor="text1" w:themeTint="BF"/>
          <w:sz w:val="14"/>
          <w:szCs w:val="14"/>
        </w:rPr>
      </w:pPr>
    </w:p>
    <w:p w14:paraId="4B272E7D" w14:textId="1A105F3B" w:rsidR="00BA455E" w:rsidRPr="000D670F" w:rsidRDefault="00BA455E" w:rsidP="00BA455E">
      <w:pPr>
        <w:pStyle w:val="Ttulo3"/>
        <w:rPr>
          <w:rFonts w:ascii="Century Gothic" w:hAnsi="Century Gothic" w:cs="Times New Roman"/>
          <w:color w:val="767171" w:themeColor="background2" w:themeShade="80"/>
          <w:sz w:val="20"/>
          <w:szCs w:val="20"/>
          <w:lang w:val="es-ES_tradnl" w:eastAsia="es-ES_tradnl"/>
        </w:rPr>
      </w:pPr>
      <w:bookmarkStart w:id="28" w:name="_Toc132722350"/>
      <w:r w:rsidRPr="000D670F">
        <w:rPr>
          <w:rFonts w:ascii="Century Gothic" w:hAnsi="Century Gothic"/>
          <w:i/>
          <w:color w:val="767171" w:themeColor="background2" w:themeShade="80"/>
        </w:rPr>
        <w:t xml:space="preserve">7.2 Gestión de desechos </w:t>
      </w:r>
      <w:r>
        <w:rPr>
          <w:rFonts w:ascii="Century Gothic" w:hAnsi="Century Gothic"/>
          <w:i/>
          <w:color w:val="767171" w:themeColor="background2" w:themeShade="80"/>
        </w:rPr>
        <w:t>peligroso</w:t>
      </w:r>
      <w:r w:rsidRPr="000D670F">
        <w:rPr>
          <w:rFonts w:ascii="Century Gothic" w:hAnsi="Century Gothic"/>
          <w:i/>
          <w:color w:val="767171" w:themeColor="background2" w:themeShade="80"/>
        </w:rPr>
        <w:t>s</w:t>
      </w:r>
      <w:bookmarkEnd w:id="28"/>
    </w:p>
    <w:p w14:paraId="43AC7C3E" w14:textId="77777777" w:rsidR="00BA455E" w:rsidRPr="00BA455E" w:rsidRDefault="00BA455E" w:rsidP="00646F55">
      <w:pPr>
        <w:jc w:val="both"/>
        <w:rPr>
          <w:rFonts w:ascii="Century Gothic" w:hAnsi="Century Gothic" w:cs="Calibri"/>
          <w:color w:val="404040" w:themeColor="text1" w:themeTint="BF"/>
          <w:sz w:val="21"/>
          <w:szCs w:val="21"/>
        </w:rPr>
      </w:pPr>
    </w:p>
    <w:p w14:paraId="3A2DBA13" w14:textId="51EFDA21" w:rsidR="00646F55" w:rsidRDefault="00646F55" w:rsidP="00646F55">
      <w:pPr>
        <w:jc w:val="both"/>
        <w:rPr>
          <w:rFonts w:ascii="Century Gothic" w:hAnsi="Century Gothic" w:cs="Times New Roman"/>
          <w:sz w:val="21"/>
          <w:szCs w:val="21"/>
          <w:lang w:eastAsia="es-ES_tradnl"/>
        </w:rPr>
      </w:pPr>
      <w:r w:rsidRPr="00360537">
        <w:rPr>
          <w:rFonts w:ascii="Century Gothic" w:hAnsi="Century Gothic" w:cs="Times New Roman"/>
          <w:sz w:val="21"/>
          <w:szCs w:val="21"/>
          <w:lang w:eastAsia="es-ES_tradnl"/>
        </w:rPr>
        <w:t xml:space="preserve">De las </w:t>
      </w:r>
      <w:r w:rsidR="00AA2F7D">
        <w:rPr>
          <w:rFonts w:ascii="Century Gothic" w:hAnsi="Century Gothic" w:cs="Times New Roman"/>
          <w:sz w:val="21"/>
          <w:szCs w:val="21"/>
          <w:lang w:eastAsia="es-ES_tradnl"/>
        </w:rPr>
        <w:t>12</w:t>
      </w:r>
      <w:r w:rsidR="004244DA">
        <w:rPr>
          <w:rFonts w:ascii="Century Gothic" w:hAnsi="Century Gothic" w:cs="Times New Roman"/>
          <w:sz w:val="21"/>
          <w:szCs w:val="21"/>
          <w:lang w:eastAsia="es-ES_tradnl"/>
        </w:rPr>
        <w:t>.</w:t>
      </w:r>
      <w:r w:rsidR="00AA2F7D">
        <w:rPr>
          <w:rFonts w:ascii="Century Gothic" w:hAnsi="Century Gothic" w:cs="Times New Roman"/>
          <w:sz w:val="21"/>
          <w:szCs w:val="21"/>
          <w:lang w:eastAsia="es-ES_tradnl"/>
        </w:rPr>
        <w:t>3</w:t>
      </w:r>
      <w:r w:rsidR="00402E16">
        <w:rPr>
          <w:rFonts w:ascii="Century Gothic" w:hAnsi="Century Gothic" w:cs="Times New Roman"/>
          <w:sz w:val="21"/>
          <w:szCs w:val="21"/>
          <w:lang w:eastAsia="es-ES_tradnl"/>
        </w:rPr>
        <w:t>6</w:t>
      </w:r>
      <w:r w:rsidR="00AA2F7D">
        <w:rPr>
          <w:rFonts w:ascii="Century Gothic" w:hAnsi="Century Gothic" w:cs="Times New Roman"/>
          <w:sz w:val="21"/>
          <w:szCs w:val="21"/>
          <w:lang w:eastAsia="es-ES_tradnl"/>
        </w:rPr>
        <w:t>3</w:t>
      </w:r>
      <w:r w:rsidRPr="00360537">
        <w:rPr>
          <w:rFonts w:ascii="Century Gothic" w:hAnsi="Century Gothic" w:cs="Times New Roman"/>
          <w:sz w:val="21"/>
          <w:szCs w:val="21"/>
          <w:lang w:eastAsia="es-ES_tradnl"/>
        </w:rPr>
        <w:t xml:space="preserve"> empresas de 1</w:t>
      </w:r>
      <w:r w:rsidR="00AA2F7D">
        <w:rPr>
          <w:rFonts w:ascii="Century Gothic" w:hAnsi="Century Gothic" w:cs="Times New Roman"/>
          <w:sz w:val="21"/>
          <w:szCs w:val="21"/>
          <w:lang w:eastAsia="es-ES_tradnl"/>
        </w:rPr>
        <w:t>3</w:t>
      </w:r>
      <w:r w:rsidR="004244DA">
        <w:rPr>
          <w:rFonts w:ascii="Century Gothic" w:hAnsi="Century Gothic" w:cs="Times New Roman"/>
          <w:sz w:val="21"/>
          <w:szCs w:val="21"/>
          <w:lang w:eastAsia="es-ES_tradnl"/>
        </w:rPr>
        <w:t>.</w:t>
      </w:r>
      <w:r w:rsidRPr="00360537">
        <w:rPr>
          <w:rFonts w:ascii="Century Gothic" w:hAnsi="Century Gothic" w:cs="Times New Roman"/>
          <w:sz w:val="21"/>
          <w:szCs w:val="21"/>
          <w:lang w:eastAsia="es-ES_tradnl"/>
        </w:rPr>
        <w:t>8</w:t>
      </w:r>
      <w:r w:rsidR="00AA2F7D">
        <w:rPr>
          <w:rFonts w:ascii="Century Gothic" w:hAnsi="Century Gothic" w:cs="Times New Roman"/>
          <w:sz w:val="21"/>
          <w:szCs w:val="21"/>
          <w:lang w:eastAsia="es-ES_tradnl"/>
        </w:rPr>
        <w:t>27</w:t>
      </w:r>
      <w:r w:rsidRPr="00360537">
        <w:rPr>
          <w:rFonts w:ascii="Century Gothic" w:hAnsi="Century Gothic" w:cs="Times New Roman"/>
          <w:sz w:val="21"/>
          <w:szCs w:val="21"/>
          <w:lang w:eastAsia="es-ES_tradnl"/>
        </w:rPr>
        <w:t xml:space="preserve"> empresas (=</w:t>
      </w:r>
      <w:r w:rsidR="00AA2F7D">
        <w:rPr>
          <w:rFonts w:ascii="Century Gothic" w:hAnsi="Century Gothic" w:cs="Times New Roman"/>
          <w:sz w:val="21"/>
          <w:szCs w:val="21"/>
          <w:lang w:eastAsia="es-ES_tradnl"/>
        </w:rPr>
        <w:t>89</w:t>
      </w:r>
      <w:r w:rsidR="004244DA">
        <w:rPr>
          <w:rFonts w:ascii="Century Gothic" w:hAnsi="Century Gothic" w:cs="Times New Roman"/>
          <w:sz w:val="21"/>
          <w:szCs w:val="21"/>
          <w:lang w:eastAsia="es-ES_tradnl"/>
        </w:rPr>
        <w:t>,</w:t>
      </w:r>
      <w:r w:rsidRPr="00360537">
        <w:rPr>
          <w:rFonts w:ascii="Century Gothic" w:hAnsi="Century Gothic" w:cs="Times New Roman"/>
          <w:sz w:val="21"/>
          <w:szCs w:val="21"/>
          <w:lang w:eastAsia="es-ES_tradnl"/>
        </w:rPr>
        <w:t>4</w:t>
      </w:r>
      <w:r w:rsidR="00AA2F7D">
        <w:rPr>
          <w:rFonts w:ascii="Century Gothic" w:hAnsi="Century Gothic" w:cs="Times New Roman"/>
          <w:sz w:val="21"/>
          <w:szCs w:val="21"/>
          <w:lang w:eastAsia="es-ES_tradnl"/>
        </w:rPr>
        <w:t>1</w:t>
      </w:r>
      <w:r w:rsidRPr="00360537">
        <w:rPr>
          <w:rFonts w:ascii="Century Gothic" w:hAnsi="Century Gothic" w:cs="Times New Roman"/>
          <w:sz w:val="21"/>
          <w:szCs w:val="21"/>
          <w:lang w:eastAsia="es-ES_tradnl"/>
        </w:rPr>
        <w:t xml:space="preserve">%) que generaron desechos peligrosos, el </w:t>
      </w:r>
      <w:r w:rsidR="00AA2F7D">
        <w:rPr>
          <w:rFonts w:ascii="Century Gothic" w:hAnsi="Century Gothic" w:cs="Times New Roman"/>
          <w:sz w:val="21"/>
          <w:szCs w:val="21"/>
          <w:lang w:eastAsia="es-ES_tradnl"/>
        </w:rPr>
        <w:t>3</w:t>
      </w:r>
      <w:r w:rsidR="004742C0">
        <w:rPr>
          <w:rFonts w:ascii="Century Gothic" w:hAnsi="Century Gothic" w:cs="Times New Roman"/>
          <w:sz w:val="21"/>
          <w:szCs w:val="21"/>
          <w:lang w:eastAsia="es-ES_tradnl"/>
        </w:rPr>
        <w:t>6</w:t>
      </w:r>
      <w:r w:rsidR="004244DA">
        <w:rPr>
          <w:rFonts w:ascii="Century Gothic" w:hAnsi="Century Gothic" w:cs="Times New Roman"/>
          <w:sz w:val="21"/>
          <w:szCs w:val="21"/>
          <w:lang w:eastAsia="es-ES_tradnl"/>
        </w:rPr>
        <w:t>,</w:t>
      </w:r>
      <w:r w:rsidR="004742C0">
        <w:rPr>
          <w:rFonts w:ascii="Century Gothic" w:hAnsi="Century Gothic" w:cs="Times New Roman"/>
          <w:sz w:val="21"/>
          <w:szCs w:val="21"/>
          <w:lang w:eastAsia="es-ES_tradnl"/>
        </w:rPr>
        <w:t>5</w:t>
      </w:r>
      <w:r w:rsidR="00AA2F7D">
        <w:rPr>
          <w:rFonts w:ascii="Century Gothic" w:hAnsi="Century Gothic" w:cs="Times New Roman"/>
          <w:sz w:val="21"/>
          <w:szCs w:val="21"/>
          <w:lang w:eastAsia="es-ES_tradnl"/>
        </w:rPr>
        <w:t>6</w:t>
      </w:r>
      <w:r w:rsidRPr="00360537">
        <w:rPr>
          <w:rFonts w:ascii="Century Gothic" w:hAnsi="Century Gothic" w:cs="Times New Roman"/>
          <w:sz w:val="21"/>
          <w:szCs w:val="21"/>
          <w:lang w:eastAsia="es-ES_tradnl"/>
        </w:rPr>
        <w:t xml:space="preserve">% conoce la cantidad generada. En total, se generaron </w:t>
      </w:r>
      <w:r w:rsidR="00723FAE">
        <w:rPr>
          <w:rFonts w:ascii="Century Gothic" w:hAnsi="Century Gothic" w:cs="Times New Roman"/>
          <w:sz w:val="21"/>
          <w:szCs w:val="21"/>
          <w:lang w:eastAsia="es-ES_tradnl"/>
        </w:rPr>
        <w:t>1.207</w:t>
      </w:r>
      <w:r w:rsidR="004244DA">
        <w:rPr>
          <w:rFonts w:ascii="Century Gothic" w:hAnsi="Century Gothic" w:cs="Times New Roman"/>
          <w:sz w:val="21"/>
          <w:szCs w:val="21"/>
          <w:lang w:eastAsia="es-ES_tradnl"/>
        </w:rPr>
        <w:t>.</w:t>
      </w:r>
      <w:r w:rsidR="004742C0">
        <w:rPr>
          <w:rFonts w:ascii="Century Gothic" w:hAnsi="Century Gothic" w:cs="Times New Roman"/>
          <w:sz w:val="21"/>
          <w:szCs w:val="21"/>
          <w:lang w:eastAsia="es-ES_tradnl"/>
        </w:rPr>
        <w:t>4</w:t>
      </w:r>
      <w:r w:rsidR="00723FAE">
        <w:rPr>
          <w:rFonts w:ascii="Century Gothic" w:hAnsi="Century Gothic" w:cs="Times New Roman"/>
          <w:sz w:val="21"/>
          <w:szCs w:val="21"/>
          <w:lang w:eastAsia="es-ES_tradnl"/>
        </w:rPr>
        <w:t>70</w:t>
      </w:r>
      <w:r w:rsidR="004244DA">
        <w:rPr>
          <w:rFonts w:ascii="Century Gothic" w:hAnsi="Century Gothic" w:cs="Times New Roman"/>
          <w:sz w:val="21"/>
          <w:szCs w:val="21"/>
          <w:lang w:eastAsia="es-ES_tradnl"/>
        </w:rPr>
        <w:t>,</w:t>
      </w:r>
      <w:r w:rsidR="00723FAE">
        <w:rPr>
          <w:rFonts w:ascii="Century Gothic" w:hAnsi="Century Gothic" w:cs="Times New Roman"/>
          <w:sz w:val="21"/>
          <w:szCs w:val="21"/>
          <w:lang w:eastAsia="es-ES_tradnl"/>
        </w:rPr>
        <w:t>91</w:t>
      </w:r>
      <w:r w:rsidRPr="00360537">
        <w:rPr>
          <w:rFonts w:ascii="Century Gothic" w:hAnsi="Century Gothic" w:cs="Times New Roman"/>
          <w:sz w:val="21"/>
          <w:szCs w:val="21"/>
          <w:lang w:eastAsia="es-ES_tradnl"/>
        </w:rPr>
        <w:t xml:space="preserve"> toneladas de residuos peligrosos sólidos (</w:t>
      </w:r>
      <w:r w:rsidR="00723FAE">
        <w:rPr>
          <w:rFonts w:ascii="Century Gothic" w:hAnsi="Century Gothic" w:cs="Times New Roman"/>
          <w:sz w:val="21"/>
          <w:szCs w:val="21"/>
          <w:lang w:eastAsia="es-ES_tradnl"/>
        </w:rPr>
        <w:t>+503</w:t>
      </w:r>
      <w:r w:rsidR="004244DA">
        <w:rPr>
          <w:rFonts w:ascii="Century Gothic" w:hAnsi="Century Gothic" w:cs="Times New Roman"/>
          <w:sz w:val="21"/>
          <w:szCs w:val="21"/>
          <w:lang w:eastAsia="es-ES_tradnl"/>
        </w:rPr>
        <w:t>,</w:t>
      </w:r>
      <w:r w:rsidR="00723FAE">
        <w:rPr>
          <w:rFonts w:ascii="Century Gothic" w:hAnsi="Century Gothic" w:cs="Times New Roman"/>
          <w:sz w:val="21"/>
          <w:szCs w:val="21"/>
          <w:lang w:eastAsia="es-ES_tradnl"/>
        </w:rPr>
        <w:t>65</w:t>
      </w:r>
      <w:r w:rsidRPr="00360537">
        <w:rPr>
          <w:rFonts w:ascii="Century Gothic" w:hAnsi="Century Gothic" w:cs="Times New Roman"/>
          <w:sz w:val="21"/>
          <w:szCs w:val="21"/>
          <w:lang w:eastAsia="es-ES_tradnl"/>
        </w:rPr>
        <w:t xml:space="preserve">% con respecto al año </w:t>
      </w:r>
      <w:r w:rsidR="003540AD">
        <w:rPr>
          <w:rFonts w:ascii="Century Gothic" w:hAnsi="Century Gothic" w:cs="Times New Roman"/>
          <w:sz w:val="21"/>
          <w:szCs w:val="21"/>
          <w:lang w:eastAsia="es-ES_tradnl"/>
        </w:rPr>
        <w:t>20</w:t>
      </w:r>
      <w:r w:rsidR="00723FAE">
        <w:rPr>
          <w:rFonts w:ascii="Century Gothic" w:hAnsi="Century Gothic" w:cs="Times New Roman"/>
          <w:sz w:val="21"/>
          <w:szCs w:val="21"/>
          <w:lang w:eastAsia="es-ES_tradnl"/>
        </w:rPr>
        <w:t>20</w:t>
      </w:r>
      <w:r w:rsidRPr="00360537">
        <w:rPr>
          <w:rFonts w:ascii="Century Gothic" w:hAnsi="Century Gothic" w:cs="Times New Roman"/>
          <w:sz w:val="21"/>
          <w:szCs w:val="21"/>
          <w:lang w:eastAsia="es-ES_tradnl"/>
        </w:rPr>
        <w:t xml:space="preserve">). La mayor cantidad de </w:t>
      </w:r>
      <w:r w:rsidRPr="00360537">
        <w:rPr>
          <w:rFonts w:ascii="Century Gothic" w:hAnsi="Century Gothic" w:cs="Times New Roman"/>
          <w:sz w:val="21"/>
          <w:szCs w:val="21"/>
          <w:lang w:eastAsia="es-ES_tradnl"/>
        </w:rPr>
        <w:lastRenderedPageBreak/>
        <w:t>desechos peligrosos corresponde a</w:t>
      </w:r>
      <w:r w:rsidR="00335D48">
        <w:rPr>
          <w:rFonts w:ascii="Century Gothic" w:hAnsi="Century Gothic" w:cs="Times New Roman"/>
          <w:sz w:val="21"/>
          <w:szCs w:val="21"/>
          <w:lang w:eastAsia="es-ES_tradnl"/>
        </w:rPr>
        <w:t xml:space="preserve"> </w:t>
      </w:r>
      <w:r w:rsidR="00335D48" w:rsidRPr="00335D48">
        <w:rPr>
          <w:rFonts w:ascii="Century Gothic" w:hAnsi="Century Gothic" w:cs="Times New Roman"/>
          <w:i/>
          <w:iCs/>
          <w:sz w:val="21"/>
          <w:szCs w:val="21"/>
          <w:lang w:eastAsia="es-ES_tradnl"/>
        </w:rPr>
        <w:t>Aguas de fracturación hidráulica / Aguas de formación</w:t>
      </w:r>
      <w:r w:rsidR="00335D48">
        <w:rPr>
          <w:rFonts w:ascii="Century Gothic" w:hAnsi="Century Gothic" w:cs="Times New Roman"/>
          <w:sz w:val="21"/>
          <w:szCs w:val="21"/>
          <w:lang w:eastAsia="es-ES_tradnl"/>
        </w:rPr>
        <w:t xml:space="preserve"> (82.23%); seguido de</w:t>
      </w:r>
      <w:r w:rsidRPr="00360537">
        <w:rPr>
          <w:rFonts w:ascii="Century Gothic" w:hAnsi="Century Gothic" w:cs="Times New Roman"/>
          <w:sz w:val="21"/>
          <w:szCs w:val="21"/>
          <w:lang w:eastAsia="es-ES_tradnl"/>
        </w:rPr>
        <w:t xml:space="preserve"> </w:t>
      </w:r>
      <w:r w:rsidR="00335D48">
        <w:rPr>
          <w:rFonts w:ascii="Century Gothic" w:hAnsi="Century Gothic" w:cs="Times New Roman"/>
          <w:i/>
          <w:sz w:val="21"/>
          <w:szCs w:val="21"/>
          <w:lang w:eastAsia="es-ES_tradnl"/>
        </w:rPr>
        <w:t>Lodos de las plantas de tratamiento de aguas residuales industriales</w:t>
      </w:r>
      <w:r w:rsidR="00335D48" w:rsidRPr="00360537">
        <w:rPr>
          <w:rFonts w:ascii="Century Gothic" w:hAnsi="Century Gothic" w:cs="Times New Roman"/>
          <w:sz w:val="21"/>
          <w:szCs w:val="21"/>
          <w:lang w:eastAsia="es-ES_tradnl"/>
        </w:rPr>
        <w:t xml:space="preserve"> </w:t>
      </w:r>
      <w:r w:rsidRPr="00360537">
        <w:rPr>
          <w:rFonts w:ascii="Century Gothic" w:hAnsi="Century Gothic" w:cs="Times New Roman"/>
          <w:sz w:val="21"/>
          <w:szCs w:val="21"/>
          <w:lang w:eastAsia="es-ES_tradnl"/>
        </w:rPr>
        <w:t>(</w:t>
      </w:r>
      <w:r w:rsidR="00335D48">
        <w:rPr>
          <w:rFonts w:ascii="Century Gothic" w:hAnsi="Century Gothic" w:cs="Times New Roman"/>
          <w:sz w:val="21"/>
          <w:szCs w:val="21"/>
          <w:lang w:eastAsia="es-ES_tradnl"/>
        </w:rPr>
        <w:t>7</w:t>
      </w:r>
      <w:r w:rsidR="004244DA">
        <w:rPr>
          <w:rFonts w:ascii="Century Gothic" w:hAnsi="Century Gothic" w:cs="Times New Roman"/>
          <w:sz w:val="21"/>
          <w:szCs w:val="21"/>
          <w:lang w:eastAsia="es-ES_tradnl"/>
        </w:rPr>
        <w:t>,</w:t>
      </w:r>
      <w:r w:rsidR="00335D48">
        <w:rPr>
          <w:rFonts w:ascii="Century Gothic" w:hAnsi="Century Gothic" w:cs="Times New Roman"/>
          <w:sz w:val="21"/>
          <w:szCs w:val="21"/>
          <w:lang w:eastAsia="es-ES_tradnl"/>
        </w:rPr>
        <w:t>24</w:t>
      </w:r>
      <w:r w:rsidRPr="00360537">
        <w:rPr>
          <w:rFonts w:ascii="Century Gothic" w:hAnsi="Century Gothic" w:cs="Times New Roman"/>
          <w:sz w:val="21"/>
          <w:szCs w:val="21"/>
          <w:lang w:eastAsia="es-ES_tradnl"/>
        </w:rPr>
        <w:t>%)</w:t>
      </w:r>
      <w:r w:rsidR="004742C0">
        <w:rPr>
          <w:rFonts w:ascii="Century Gothic" w:hAnsi="Century Gothic" w:cs="Times New Roman"/>
          <w:sz w:val="21"/>
          <w:szCs w:val="21"/>
          <w:lang w:eastAsia="es-ES_tradnl"/>
        </w:rPr>
        <w:t>;</w:t>
      </w:r>
      <w:r w:rsidRPr="00360537">
        <w:rPr>
          <w:rFonts w:ascii="Century Gothic" w:hAnsi="Century Gothic" w:cs="Times New Roman"/>
          <w:sz w:val="21"/>
          <w:szCs w:val="21"/>
          <w:lang w:eastAsia="es-ES_tradnl"/>
        </w:rPr>
        <w:t xml:space="preserve"> </w:t>
      </w:r>
      <w:r w:rsidR="00335D48">
        <w:rPr>
          <w:rFonts w:ascii="Century Gothic" w:hAnsi="Century Gothic" w:cs="Times New Roman"/>
          <w:sz w:val="21"/>
          <w:szCs w:val="21"/>
          <w:lang w:eastAsia="es-ES_tradnl"/>
        </w:rPr>
        <w:t xml:space="preserve">y </w:t>
      </w:r>
      <w:r w:rsidRPr="00360537">
        <w:rPr>
          <w:rFonts w:ascii="Century Gothic" w:hAnsi="Century Gothic" w:cs="Times New Roman"/>
          <w:sz w:val="21"/>
          <w:szCs w:val="21"/>
          <w:lang w:eastAsia="es-ES_tradnl"/>
        </w:rPr>
        <w:t>de</w:t>
      </w:r>
      <w:r w:rsidR="00335D48">
        <w:rPr>
          <w:rFonts w:ascii="Century Gothic" w:hAnsi="Century Gothic" w:cs="Times New Roman"/>
          <w:sz w:val="21"/>
          <w:szCs w:val="21"/>
          <w:lang w:eastAsia="es-ES_tradnl"/>
        </w:rPr>
        <w:t xml:space="preserve"> </w:t>
      </w:r>
      <w:r w:rsidR="00335D48" w:rsidRPr="00335D48">
        <w:rPr>
          <w:rFonts w:ascii="Century Gothic" w:hAnsi="Century Gothic" w:cs="Times New Roman"/>
          <w:i/>
          <w:iCs/>
          <w:sz w:val="21"/>
          <w:szCs w:val="21"/>
          <w:lang w:eastAsia="es-ES_tradnl"/>
        </w:rPr>
        <w:t>Suelos contaminados con hidrocarburos</w:t>
      </w:r>
      <w:r w:rsidRPr="00360537">
        <w:rPr>
          <w:rFonts w:ascii="Century Gothic" w:hAnsi="Century Gothic" w:cs="Times New Roman"/>
          <w:sz w:val="21"/>
          <w:szCs w:val="21"/>
          <w:lang w:eastAsia="es-ES_tradnl"/>
        </w:rPr>
        <w:t xml:space="preserve"> (1</w:t>
      </w:r>
      <w:r w:rsidR="004244DA">
        <w:rPr>
          <w:rFonts w:ascii="Century Gothic" w:hAnsi="Century Gothic" w:cs="Times New Roman"/>
          <w:sz w:val="21"/>
          <w:szCs w:val="21"/>
          <w:lang w:eastAsia="es-ES_tradnl"/>
        </w:rPr>
        <w:t>,</w:t>
      </w:r>
      <w:r w:rsidR="00335D48">
        <w:rPr>
          <w:rFonts w:ascii="Century Gothic" w:hAnsi="Century Gothic" w:cs="Times New Roman"/>
          <w:sz w:val="21"/>
          <w:szCs w:val="21"/>
          <w:lang w:eastAsia="es-ES_tradnl"/>
        </w:rPr>
        <w:t>59</w:t>
      </w:r>
      <w:r w:rsidRPr="00360537">
        <w:rPr>
          <w:rFonts w:ascii="Century Gothic" w:hAnsi="Century Gothic" w:cs="Times New Roman"/>
          <w:sz w:val="21"/>
          <w:szCs w:val="21"/>
          <w:lang w:eastAsia="es-ES_tradnl"/>
        </w:rPr>
        <w:t xml:space="preserve">%). En la Tabla </w:t>
      </w:r>
      <w:r w:rsidR="00724A78">
        <w:rPr>
          <w:rFonts w:ascii="Century Gothic" w:hAnsi="Century Gothic" w:cs="Times New Roman"/>
          <w:sz w:val="21"/>
          <w:szCs w:val="21"/>
          <w:lang w:eastAsia="es-ES_tradnl"/>
        </w:rPr>
        <w:t>4</w:t>
      </w:r>
      <w:r w:rsidRPr="00360537">
        <w:rPr>
          <w:rFonts w:ascii="Century Gothic" w:hAnsi="Century Gothic" w:cs="Times New Roman"/>
          <w:sz w:val="21"/>
          <w:szCs w:val="21"/>
          <w:lang w:eastAsia="es-ES_tradnl"/>
        </w:rPr>
        <w:t xml:space="preserve"> se muestran los resultados de la generación de desechos peligrosos.</w:t>
      </w:r>
    </w:p>
    <w:p w14:paraId="6BF36E00" w14:textId="77777777" w:rsidR="008F7F6D" w:rsidRPr="00360537" w:rsidRDefault="008F7F6D" w:rsidP="00646F55">
      <w:pPr>
        <w:jc w:val="both"/>
        <w:rPr>
          <w:rFonts w:ascii="Century Gothic" w:hAnsi="Century Gothic" w:cs="Times New Roman"/>
          <w:sz w:val="21"/>
          <w:szCs w:val="21"/>
          <w:lang w:eastAsia="es-ES_tradnl"/>
        </w:rPr>
      </w:pPr>
    </w:p>
    <w:p w14:paraId="5ED091F2" w14:textId="5798C19D" w:rsidR="00646F55" w:rsidRPr="00646F55" w:rsidRDefault="002C42E4" w:rsidP="00646F55">
      <w:pPr>
        <w:pStyle w:val="Descripcin"/>
        <w:keepNext/>
        <w:jc w:val="both"/>
      </w:pPr>
      <w:bookmarkStart w:id="29" w:name="_Toc132722369"/>
      <w:r w:rsidRPr="007E3C14">
        <w:rPr>
          <w:b/>
          <w:bCs/>
          <w:i w:val="0"/>
          <w:color w:val="auto"/>
          <w:sz w:val="16"/>
        </w:rPr>
        <w:t xml:space="preserve">Tabla </w:t>
      </w:r>
      <w:r w:rsidRPr="007E3C14">
        <w:rPr>
          <w:b/>
          <w:bCs/>
          <w:i w:val="0"/>
          <w:color w:val="auto"/>
          <w:sz w:val="16"/>
        </w:rPr>
        <w:fldChar w:fldCharType="begin"/>
      </w:r>
      <w:r w:rsidRPr="007E3C14">
        <w:rPr>
          <w:b/>
          <w:bCs/>
          <w:i w:val="0"/>
          <w:color w:val="auto"/>
          <w:sz w:val="16"/>
        </w:rPr>
        <w:instrText xml:space="preserve"> SEQ Tabla \* ARABIC </w:instrText>
      </w:r>
      <w:r w:rsidRPr="007E3C14">
        <w:rPr>
          <w:b/>
          <w:bCs/>
          <w:i w:val="0"/>
          <w:color w:val="auto"/>
          <w:sz w:val="16"/>
        </w:rPr>
        <w:fldChar w:fldCharType="separate"/>
      </w:r>
      <w:r>
        <w:rPr>
          <w:b/>
          <w:bCs/>
          <w:i w:val="0"/>
          <w:noProof/>
          <w:color w:val="auto"/>
          <w:sz w:val="16"/>
        </w:rPr>
        <w:t>4</w:t>
      </w:r>
      <w:r w:rsidRPr="007E3C14">
        <w:rPr>
          <w:b/>
          <w:bCs/>
          <w:i w:val="0"/>
          <w:color w:val="auto"/>
          <w:sz w:val="16"/>
        </w:rPr>
        <w:fldChar w:fldCharType="end"/>
      </w:r>
      <w:r w:rsidR="00646F55" w:rsidRPr="00705E01">
        <w:rPr>
          <w:b/>
          <w:bCs/>
          <w:i w:val="0"/>
          <w:iCs w:val="0"/>
          <w:color w:val="595959" w:themeColor="text1" w:themeTint="A6"/>
          <w:sz w:val="16"/>
        </w:rPr>
        <w:t>.</w:t>
      </w:r>
      <w:r w:rsidR="00646F55" w:rsidRPr="00705E01">
        <w:t xml:space="preserve"> </w:t>
      </w:r>
      <w:r w:rsidR="00646F55" w:rsidRPr="00705E01">
        <w:rPr>
          <w:rFonts w:cstheme="minorHAnsi"/>
          <w:i w:val="0"/>
          <w:color w:val="auto"/>
          <w:sz w:val="16"/>
          <w:lang w:val="es-EC"/>
        </w:rPr>
        <w:t>Empresas que generaron desechos peligrosos, por tipo de desecho peligroso (</w:t>
      </w:r>
      <w:r w:rsidR="003540AD" w:rsidRPr="00705E01">
        <w:rPr>
          <w:rFonts w:cstheme="minorHAnsi"/>
          <w:i w:val="0"/>
          <w:color w:val="auto"/>
          <w:sz w:val="16"/>
          <w:lang w:val="es-EC"/>
        </w:rPr>
        <w:t>202</w:t>
      </w:r>
      <w:r w:rsidR="00724A78">
        <w:rPr>
          <w:rFonts w:cstheme="minorHAnsi"/>
          <w:i w:val="0"/>
          <w:color w:val="auto"/>
          <w:sz w:val="16"/>
          <w:lang w:val="es-EC"/>
        </w:rPr>
        <w:t>1</w:t>
      </w:r>
      <w:r w:rsidR="00646F55" w:rsidRPr="00705E01">
        <w:rPr>
          <w:rFonts w:cstheme="minorHAnsi"/>
          <w:i w:val="0"/>
          <w:color w:val="auto"/>
          <w:sz w:val="16"/>
          <w:lang w:val="es-EC"/>
        </w:rPr>
        <w:t>)</w:t>
      </w:r>
      <w:r w:rsidR="00646F55" w:rsidRPr="00705E01">
        <w:rPr>
          <w:rStyle w:val="Refdenotaalpie"/>
          <w:rFonts w:cstheme="minorHAnsi"/>
          <w:i w:val="0"/>
          <w:color w:val="auto"/>
          <w:sz w:val="16"/>
          <w:lang w:val="es-EC"/>
        </w:rPr>
        <w:footnoteReference w:id="15"/>
      </w:r>
      <w:r w:rsidR="00646F55" w:rsidRPr="00705E01">
        <w:rPr>
          <w:rFonts w:cstheme="minorHAnsi"/>
          <w:i w:val="0"/>
          <w:color w:val="auto"/>
          <w:sz w:val="16"/>
          <w:lang w:val="es-EC"/>
        </w:rPr>
        <w:t>.</w:t>
      </w:r>
      <w:bookmarkEnd w:id="29"/>
    </w:p>
    <w:tbl>
      <w:tblPr>
        <w:tblW w:w="3919" w:type="dxa"/>
        <w:tblBorders>
          <w:top w:val="single" w:sz="6" w:space="0" w:color="70AD47"/>
          <w:left w:val="single" w:sz="6" w:space="0" w:color="70AD47"/>
          <w:bottom w:val="single" w:sz="6" w:space="0" w:color="70AD47"/>
          <w:right w:val="single" w:sz="6" w:space="0" w:color="70AD47"/>
          <w:insideH w:val="single" w:sz="6" w:space="0" w:color="70AD47"/>
          <w:insideV w:val="single" w:sz="6" w:space="0" w:color="70AD47"/>
        </w:tblBorders>
        <w:tblLayout w:type="fixed"/>
        <w:tblCellMar>
          <w:left w:w="0" w:type="dxa"/>
          <w:right w:w="0" w:type="dxa"/>
        </w:tblCellMar>
        <w:tblLook w:val="0600" w:firstRow="0" w:lastRow="0" w:firstColumn="0" w:lastColumn="0" w:noHBand="1" w:noVBand="1"/>
      </w:tblPr>
      <w:tblGrid>
        <w:gridCol w:w="1545"/>
        <w:gridCol w:w="630"/>
        <w:gridCol w:w="582"/>
        <w:gridCol w:w="603"/>
        <w:gridCol w:w="559"/>
      </w:tblGrid>
      <w:tr w:rsidR="00646F55" w:rsidRPr="00646F55" w14:paraId="79520879" w14:textId="77777777" w:rsidTr="00E94578">
        <w:trPr>
          <w:trHeight w:val="311"/>
        </w:trPr>
        <w:tc>
          <w:tcPr>
            <w:tcW w:w="1545" w:type="dxa"/>
            <w:vMerge w:val="restart"/>
            <w:shd w:val="clear" w:color="auto" w:fill="A8D08D" w:themeFill="accent6" w:themeFillTint="99"/>
            <w:tcMar>
              <w:top w:w="15" w:type="dxa"/>
              <w:left w:w="15" w:type="dxa"/>
              <w:bottom w:w="0" w:type="dxa"/>
              <w:right w:w="15" w:type="dxa"/>
            </w:tcMar>
            <w:vAlign w:val="center"/>
            <w:hideMark/>
          </w:tcPr>
          <w:p w14:paraId="027BE488" w14:textId="77777777" w:rsidR="00646F55" w:rsidRPr="00646F55" w:rsidRDefault="00646F55" w:rsidP="00646F55">
            <w:pPr>
              <w:jc w:val="center"/>
              <w:rPr>
                <w:rFonts w:ascii="Century Gothic" w:hAnsi="Century Gothic" w:cs="Times New Roman"/>
                <w:sz w:val="12"/>
                <w:szCs w:val="20"/>
                <w:lang w:val="es-PR" w:eastAsia="es-ES_tradnl"/>
              </w:rPr>
            </w:pPr>
            <w:r w:rsidRPr="00646F55">
              <w:rPr>
                <w:rFonts w:ascii="Century Gothic" w:hAnsi="Century Gothic" w:cs="Times New Roman"/>
                <w:b/>
                <w:bCs/>
                <w:sz w:val="12"/>
                <w:szCs w:val="20"/>
                <w:lang w:eastAsia="es-ES_tradnl"/>
              </w:rPr>
              <w:t>Desechos peligrosos</w:t>
            </w:r>
          </w:p>
        </w:tc>
        <w:tc>
          <w:tcPr>
            <w:tcW w:w="630" w:type="dxa"/>
            <w:shd w:val="clear" w:color="auto" w:fill="A8D08D" w:themeFill="accent6" w:themeFillTint="99"/>
            <w:vAlign w:val="center"/>
          </w:tcPr>
          <w:p w14:paraId="65FAF34C" w14:textId="77777777" w:rsidR="00646F55" w:rsidRPr="00646F55" w:rsidRDefault="00646F55" w:rsidP="00646F55">
            <w:pPr>
              <w:jc w:val="center"/>
              <w:rPr>
                <w:rFonts w:ascii="Century Gothic" w:hAnsi="Century Gothic" w:cs="Times New Roman"/>
                <w:sz w:val="11"/>
                <w:szCs w:val="11"/>
                <w:lang w:val="es-PR" w:eastAsia="es-ES_tradnl"/>
              </w:rPr>
            </w:pPr>
            <w:r w:rsidRPr="00646F55">
              <w:rPr>
                <w:rFonts w:ascii="Century Gothic" w:hAnsi="Century Gothic" w:cs="Times New Roman"/>
                <w:b/>
                <w:bCs/>
                <w:sz w:val="11"/>
                <w:szCs w:val="11"/>
                <w:lang w:eastAsia="es-ES_tradnl"/>
              </w:rPr>
              <w:t>Empresas</w:t>
            </w:r>
          </w:p>
          <w:p w14:paraId="675485CC" w14:textId="2023F87B" w:rsidR="00646F55" w:rsidRPr="00646F55" w:rsidRDefault="003540AD" w:rsidP="00646F55">
            <w:pPr>
              <w:jc w:val="center"/>
              <w:rPr>
                <w:rFonts w:ascii="Century Gothic" w:hAnsi="Century Gothic" w:cs="Times New Roman"/>
                <w:sz w:val="11"/>
                <w:szCs w:val="11"/>
                <w:lang w:val="es-PR" w:eastAsia="es-ES_tradnl"/>
              </w:rPr>
            </w:pPr>
            <w:r>
              <w:rPr>
                <w:rFonts w:ascii="Century Gothic" w:hAnsi="Century Gothic" w:cs="Times New Roman"/>
                <w:b/>
                <w:bCs/>
                <w:sz w:val="11"/>
                <w:szCs w:val="11"/>
                <w:lang w:eastAsia="es-ES_tradnl"/>
              </w:rPr>
              <w:t>2020</w:t>
            </w:r>
            <w:r w:rsidR="00646F55" w:rsidRPr="00646F55">
              <w:rPr>
                <w:rFonts w:ascii="Century Gothic" w:hAnsi="Century Gothic" w:cs="Times New Roman"/>
                <w:b/>
                <w:bCs/>
                <w:sz w:val="11"/>
                <w:szCs w:val="11"/>
                <w:lang w:eastAsia="es-ES_tradnl"/>
              </w:rPr>
              <w:t xml:space="preserve"> que generan</w:t>
            </w:r>
          </w:p>
        </w:tc>
        <w:tc>
          <w:tcPr>
            <w:tcW w:w="582" w:type="dxa"/>
            <w:shd w:val="clear" w:color="auto" w:fill="A8D08D" w:themeFill="accent6" w:themeFillTint="99"/>
            <w:tcMar>
              <w:top w:w="15" w:type="dxa"/>
              <w:left w:w="15" w:type="dxa"/>
              <w:bottom w:w="0" w:type="dxa"/>
              <w:right w:w="15" w:type="dxa"/>
            </w:tcMar>
            <w:vAlign w:val="center"/>
            <w:hideMark/>
          </w:tcPr>
          <w:p w14:paraId="309DD620" w14:textId="77777777" w:rsidR="00646F55" w:rsidRPr="00646F55" w:rsidRDefault="00646F55" w:rsidP="00646F55">
            <w:pPr>
              <w:jc w:val="center"/>
              <w:rPr>
                <w:rFonts w:ascii="Century Gothic" w:hAnsi="Century Gothic" w:cs="Times New Roman"/>
                <w:sz w:val="11"/>
                <w:szCs w:val="11"/>
                <w:lang w:val="es-PR" w:eastAsia="es-ES_tradnl"/>
              </w:rPr>
            </w:pPr>
            <w:r w:rsidRPr="00646F55">
              <w:rPr>
                <w:rFonts w:ascii="Century Gothic" w:hAnsi="Century Gothic" w:cs="Times New Roman"/>
                <w:b/>
                <w:bCs/>
                <w:sz w:val="11"/>
                <w:szCs w:val="11"/>
                <w:lang w:eastAsia="es-ES_tradnl"/>
              </w:rPr>
              <w:t>Empresas</w:t>
            </w:r>
          </w:p>
          <w:p w14:paraId="322C5C7F" w14:textId="6B30959C" w:rsidR="00646F55" w:rsidRPr="00646F55" w:rsidRDefault="003540AD" w:rsidP="00646F55">
            <w:pPr>
              <w:jc w:val="center"/>
              <w:rPr>
                <w:rFonts w:ascii="Century Gothic" w:hAnsi="Century Gothic" w:cs="Times New Roman"/>
                <w:sz w:val="11"/>
                <w:szCs w:val="11"/>
                <w:lang w:val="es-PR" w:eastAsia="es-ES_tradnl"/>
              </w:rPr>
            </w:pPr>
            <w:r>
              <w:rPr>
                <w:rFonts w:ascii="Century Gothic" w:hAnsi="Century Gothic" w:cs="Times New Roman"/>
                <w:b/>
                <w:bCs/>
                <w:sz w:val="11"/>
                <w:szCs w:val="11"/>
                <w:lang w:eastAsia="es-ES_tradnl"/>
              </w:rPr>
              <w:t>2020</w:t>
            </w:r>
            <w:r w:rsidR="00646F55" w:rsidRPr="00646F55">
              <w:rPr>
                <w:rFonts w:ascii="Century Gothic" w:hAnsi="Century Gothic" w:cs="Times New Roman"/>
                <w:b/>
                <w:bCs/>
                <w:sz w:val="11"/>
                <w:szCs w:val="11"/>
                <w:lang w:eastAsia="es-ES_tradnl"/>
              </w:rPr>
              <w:t xml:space="preserve"> que conocen la cantidad generada</w:t>
            </w:r>
          </w:p>
        </w:tc>
        <w:tc>
          <w:tcPr>
            <w:tcW w:w="1162" w:type="dxa"/>
            <w:gridSpan w:val="2"/>
            <w:shd w:val="clear" w:color="auto" w:fill="A8D08D" w:themeFill="accent6" w:themeFillTint="99"/>
            <w:tcMar>
              <w:top w:w="15" w:type="dxa"/>
              <w:left w:w="15" w:type="dxa"/>
              <w:bottom w:w="0" w:type="dxa"/>
              <w:right w:w="15" w:type="dxa"/>
            </w:tcMar>
            <w:vAlign w:val="center"/>
            <w:hideMark/>
          </w:tcPr>
          <w:p w14:paraId="6AE549ED" w14:textId="609E30C3" w:rsidR="00646F55" w:rsidRPr="00646F55" w:rsidRDefault="00E94578" w:rsidP="00646F55">
            <w:pPr>
              <w:jc w:val="center"/>
              <w:rPr>
                <w:rFonts w:ascii="Century Gothic" w:hAnsi="Century Gothic" w:cs="Times New Roman"/>
                <w:sz w:val="11"/>
                <w:szCs w:val="11"/>
                <w:lang w:val="es-PR" w:eastAsia="es-ES_tradnl"/>
              </w:rPr>
            </w:pPr>
            <w:r>
              <w:rPr>
                <w:rFonts w:ascii="Century Gothic" w:hAnsi="Century Gothic" w:cs="Times New Roman"/>
                <w:b/>
                <w:bCs/>
                <w:sz w:val="11"/>
                <w:szCs w:val="11"/>
                <w:lang w:eastAsia="es-ES_tradnl"/>
              </w:rPr>
              <w:t>kilot</w:t>
            </w:r>
            <w:r w:rsidRPr="00646F55">
              <w:rPr>
                <w:rFonts w:ascii="Century Gothic" w:hAnsi="Century Gothic" w:cs="Times New Roman"/>
                <w:b/>
                <w:bCs/>
                <w:sz w:val="11"/>
                <w:szCs w:val="11"/>
                <w:lang w:eastAsia="es-ES_tradnl"/>
              </w:rPr>
              <w:t>oneladas (</w:t>
            </w:r>
            <w:r>
              <w:rPr>
                <w:rFonts w:ascii="Century Gothic" w:hAnsi="Century Gothic" w:cs="Times New Roman"/>
                <w:b/>
                <w:bCs/>
                <w:sz w:val="11"/>
                <w:szCs w:val="11"/>
                <w:lang w:eastAsia="es-ES_tradnl"/>
              </w:rPr>
              <w:t>kT</w:t>
            </w:r>
            <w:r w:rsidRPr="00646F55">
              <w:rPr>
                <w:rFonts w:ascii="Century Gothic" w:hAnsi="Century Gothic" w:cs="Times New Roman"/>
                <w:b/>
                <w:bCs/>
                <w:sz w:val="11"/>
                <w:szCs w:val="11"/>
                <w:lang w:eastAsia="es-ES_tradnl"/>
              </w:rPr>
              <w:t>)</w:t>
            </w:r>
          </w:p>
        </w:tc>
      </w:tr>
      <w:tr w:rsidR="00646F55" w:rsidRPr="00646F55" w14:paraId="1A24F64F" w14:textId="77777777" w:rsidTr="00E94578">
        <w:trPr>
          <w:trHeight w:val="258"/>
        </w:trPr>
        <w:tc>
          <w:tcPr>
            <w:tcW w:w="1545" w:type="dxa"/>
            <w:vMerge/>
            <w:shd w:val="clear" w:color="auto" w:fill="A8D08D" w:themeFill="accent6" w:themeFillTint="99"/>
            <w:vAlign w:val="center"/>
            <w:hideMark/>
          </w:tcPr>
          <w:p w14:paraId="5B1C0211" w14:textId="77777777" w:rsidR="00646F55" w:rsidRPr="00646F55" w:rsidRDefault="00646F55" w:rsidP="00646F55">
            <w:pPr>
              <w:jc w:val="center"/>
              <w:rPr>
                <w:rFonts w:ascii="Century Gothic" w:hAnsi="Century Gothic" w:cs="Times New Roman"/>
                <w:sz w:val="12"/>
                <w:szCs w:val="20"/>
                <w:lang w:val="es-PR" w:eastAsia="es-ES_tradnl"/>
              </w:rPr>
            </w:pPr>
          </w:p>
        </w:tc>
        <w:tc>
          <w:tcPr>
            <w:tcW w:w="630" w:type="dxa"/>
            <w:shd w:val="clear" w:color="auto" w:fill="A8D08D" w:themeFill="accent6" w:themeFillTint="99"/>
            <w:vAlign w:val="center"/>
          </w:tcPr>
          <w:p w14:paraId="5C88269B" w14:textId="77777777" w:rsidR="00646F55" w:rsidRPr="00646F55" w:rsidRDefault="00646F55" w:rsidP="00646F55">
            <w:pPr>
              <w:jc w:val="center"/>
              <w:rPr>
                <w:rFonts w:ascii="Century Gothic" w:hAnsi="Century Gothic" w:cs="Times New Roman"/>
                <w:sz w:val="11"/>
                <w:szCs w:val="11"/>
                <w:lang w:val="en-US" w:eastAsia="es-ES_tradnl"/>
              </w:rPr>
            </w:pPr>
            <w:r w:rsidRPr="00646F55">
              <w:rPr>
                <w:rFonts w:ascii="Century Gothic" w:hAnsi="Century Gothic" w:cs="Times New Roman"/>
                <w:b/>
                <w:bCs/>
                <w:sz w:val="11"/>
                <w:szCs w:val="11"/>
                <w:lang w:eastAsia="es-ES_tradnl"/>
              </w:rPr>
              <w:t>Recuento</w:t>
            </w:r>
          </w:p>
        </w:tc>
        <w:tc>
          <w:tcPr>
            <w:tcW w:w="582" w:type="dxa"/>
            <w:shd w:val="clear" w:color="auto" w:fill="A8D08D" w:themeFill="accent6" w:themeFillTint="99"/>
            <w:tcMar>
              <w:top w:w="15" w:type="dxa"/>
              <w:left w:w="15" w:type="dxa"/>
              <w:bottom w:w="0" w:type="dxa"/>
              <w:right w:w="15" w:type="dxa"/>
            </w:tcMar>
            <w:vAlign w:val="center"/>
            <w:hideMark/>
          </w:tcPr>
          <w:p w14:paraId="6E3DFFBE" w14:textId="77777777" w:rsidR="00646F55" w:rsidRPr="00646F55" w:rsidRDefault="00646F55" w:rsidP="00646F55">
            <w:pPr>
              <w:jc w:val="center"/>
              <w:rPr>
                <w:rFonts w:ascii="Century Gothic" w:hAnsi="Century Gothic" w:cs="Times New Roman"/>
                <w:sz w:val="11"/>
                <w:szCs w:val="11"/>
                <w:lang w:val="en-US" w:eastAsia="es-ES_tradnl"/>
              </w:rPr>
            </w:pPr>
            <w:r w:rsidRPr="00646F55">
              <w:rPr>
                <w:rFonts w:ascii="Century Gothic" w:hAnsi="Century Gothic" w:cs="Times New Roman"/>
                <w:b/>
                <w:bCs/>
                <w:sz w:val="11"/>
                <w:szCs w:val="11"/>
                <w:lang w:eastAsia="es-ES_tradnl"/>
              </w:rPr>
              <w:t>Recuento</w:t>
            </w:r>
          </w:p>
        </w:tc>
        <w:tc>
          <w:tcPr>
            <w:tcW w:w="603" w:type="dxa"/>
            <w:shd w:val="clear" w:color="auto" w:fill="A8D08D" w:themeFill="accent6" w:themeFillTint="99"/>
            <w:tcMar>
              <w:top w:w="15" w:type="dxa"/>
              <w:left w:w="15" w:type="dxa"/>
              <w:bottom w:w="0" w:type="dxa"/>
              <w:right w:w="15" w:type="dxa"/>
            </w:tcMar>
            <w:vAlign w:val="center"/>
            <w:hideMark/>
          </w:tcPr>
          <w:p w14:paraId="5B890A64" w14:textId="0DDCD65F" w:rsidR="00646F55" w:rsidRPr="00646F55" w:rsidRDefault="005E03BB" w:rsidP="00646F55">
            <w:pPr>
              <w:jc w:val="center"/>
              <w:rPr>
                <w:rFonts w:ascii="Century Gothic" w:hAnsi="Century Gothic" w:cs="Times New Roman"/>
                <w:sz w:val="11"/>
                <w:szCs w:val="11"/>
                <w:lang w:val="en-US" w:eastAsia="es-ES_tradnl"/>
              </w:rPr>
            </w:pPr>
            <w:r>
              <w:rPr>
                <w:rFonts w:ascii="Century Gothic" w:hAnsi="Century Gothic" w:cs="Times New Roman"/>
                <w:b/>
                <w:bCs/>
                <w:sz w:val="11"/>
                <w:szCs w:val="11"/>
                <w:lang w:eastAsia="es-ES_tradnl"/>
              </w:rPr>
              <w:t xml:space="preserve">Absoluto </w:t>
            </w:r>
            <w:r w:rsidR="003540AD">
              <w:rPr>
                <w:rFonts w:ascii="Century Gothic" w:hAnsi="Century Gothic" w:cs="Times New Roman"/>
                <w:b/>
                <w:bCs/>
                <w:sz w:val="11"/>
                <w:szCs w:val="11"/>
                <w:lang w:eastAsia="es-ES_tradnl"/>
              </w:rPr>
              <w:t>2020</w:t>
            </w:r>
          </w:p>
        </w:tc>
        <w:tc>
          <w:tcPr>
            <w:tcW w:w="559" w:type="dxa"/>
            <w:shd w:val="clear" w:color="auto" w:fill="A8D08D" w:themeFill="accent6" w:themeFillTint="99"/>
            <w:tcMar>
              <w:top w:w="15" w:type="dxa"/>
              <w:left w:w="15" w:type="dxa"/>
              <w:bottom w:w="0" w:type="dxa"/>
              <w:right w:w="15" w:type="dxa"/>
            </w:tcMar>
            <w:vAlign w:val="center"/>
            <w:hideMark/>
          </w:tcPr>
          <w:p w14:paraId="33608D99" w14:textId="07CF4BFE" w:rsidR="00646F55" w:rsidRPr="00646F55" w:rsidRDefault="005E03BB" w:rsidP="00646F55">
            <w:pPr>
              <w:jc w:val="center"/>
              <w:rPr>
                <w:rFonts w:ascii="Century Gothic" w:hAnsi="Century Gothic" w:cs="Times New Roman"/>
                <w:sz w:val="11"/>
                <w:szCs w:val="11"/>
                <w:lang w:val="en-US" w:eastAsia="es-ES_tradnl"/>
              </w:rPr>
            </w:pPr>
            <w:r>
              <w:rPr>
                <w:rFonts w:ascii="Century Gothic" w:hAnsi="Century Gothic" w:cs="Times New Roman"/>
                <w:b/>
                <w:bCs/>
                <w:sz w:val="11"/>
                <w:szCs w:val="11"/>
                <w:lang w:eastAsia="es-ES_tradnl"/>
              </w:rPr>
              <w:t xml:space="preserve">Relativo </w:t>
            </w:r>
            <w:r w:rsidR="003540AD">
              <w:rPr>
                <w:rFonts w:ascii="Century Gothic" w:hAnsi="Century Gothic" w:cs="Times New Roman"/>
                <w:b/>
                <w:bCs/>
                <w:sz w:val="11"/>
                <w:szCs w:val="11"/>
                <w:lang w:eastAsia="es-ES_tradnl"/>
              </w:rPr>
              <w:t>2020</w:t>
            </w:r>
          </w:p>
        </w:tc>
      </w:tr>
      <w:tr w:rsidR="00335D48" w:rsidRPr="00646F55" w14:paraId="408A65D9" w14:textId="77777777" w:rsidTr="00E94578">
        <w:trPr>
          <w:trHeight w:val="249"/>
        </w:trPr>
        <w:tc>
          <w:tcPr>
            <w:tcW w:w="1545" w:type="dxa"/>
            <w:shd w:val="clear" w:color="auto" w:fill="auto"/>
            <w:tcMar>
              <w:top w:w="15" w:type="dxa"/>
              <w:left w:w="15" w:type="dxa"/>
              <w:bottom w:w="0" w:type="dxa"/>
              <w:right w:w="15" w:type="dxa"/>
            </w:tcMar>
            <w:vAlign w:val="center"/>
          </w:tcPr>
          <w:p w14:paraId="438199D5" w14:textId="252ACB90" w:rsidR="00335D48" w:rsidRPr="00E94578" w:rsidRDefault="00335D48" w:rsidP="00335D48">
            <w:pPr>
              <w:rPr>
                <w:rFonts w:ascii="Century Gothic" w:hAnsi="Century Gothic" w:cs="Times New Roman"/>
                <w:sz w:val="12"/>
                <w:szCs w:val="20"/>
                <w:lang w:val="es-ES" w:eastAsia="es-ES_tradnl"/>
              </w:rPr>
            </w:pPr>
            <w:r>
              <w:rPr>
                <w:rFonts w:ascii="Century Gothic" w:hAnsi="Century Gothic" w:cs="Times New Roman"/>
                <w:sz w:val="12"/>
                <w:szCs w:val="20"/>
                <w:lang w:val="es-ES" w:eastAsia="es-ES_tradnl"/>
              </w:rPr>
              <w:t>Aguas de fracturación hidráulica / Aguas de formación</w:t>
            </w:r>
          </w:p>
        </w:tc>
        <w:tc>
          <w:tcPr>
            <w:tcW w:w="630" w:type="dxa"/>
            <w:vAlign w:val="center"/>
          </w:tcPr>
          <w:p w14:paraId="5DF74DEE" w14:textId="48DAC278" w:rsidR="00335D48" w:rsidRPr="00E00114" w:rsidRDefault="00335D48"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16</w:t>
            </w:r>
          </w:p>
        </w:tc>
        <w:tc>
          <w:tcPr>
            <w:tcW w:w="582" w:type="dxa"/>
            <w:shd w:val="clear" w:color="auto" w:fill="auto"/>
            <w:tcMar>
              <w:top w:w="15" w:type="dxa"/>
              <w:left w:w="15" w:type="dxa"/>
              <w:bottom w:w="0" w:type="dxa"/>
              <w:right w:w="15" w:type="dxa"/>
            </w:tcMar>
            <w:vAlign w:val="center"/>
          </w:tcPr>
          <w:p w14:paraId="73757D39" w14:textId="22922B62" w:rsidR="00335D48" w:rsidRPr="00E00114" w:rsidRDefault="00335D48"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16</w:t>
            </w:r>
          </w:p>
        </w:tc>
        <w:tc>
          <w:tcPr>
            <w:tcW w:w="603" w:type="dxa"/>
            <w:shd w:val="clear" w:color="auto" w:fill="auto"/>
            <w:tcMar>
              <w:top w:w="15" w:type="dxa"/>
              <w:left w:w="15" w:type="dxa"/>
              <w:bottom w:w="0" w:type="dxa"/>
              <w:right w:w="15" w:type="dxa"/>
            </w:tcMar>
            <w:vAlign w:val="center"/>
          </w:tcPr>
          <w:p w14:paraId="7D51E4C5" w14:textId="51658424" w:rsidR="00335D48" w:rsidRPr="00E00114" w:rsidRDefault="00335D48"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992,91</w:t>
            </w:r>
          </w:p>
        </w:tc>
        <w:tc>
          <w:tcPr>
            <w:tcW w:w="559" w:type="dxa"/>
            <w:shd w:val="clear" w:color="auto" w:fill="auto"/>
            <w:tcMar>
              <w:top w:w="15" w:type="dxa"/>
              <w:left w:w="15" w:type="dxa"/>
              <w:bottom w:w="0" w:type="dxa"/>
              <w:right w:w="15" w:type="dxa"/>
            </w:tcMar>
            <w:vAlign w:val="center"/>
          </w:tcPr>
          <w:p w14:paraId="49C25D84" w14:textId="571117CF" w:rsidR="00335D48" w:rsidRPr="00E00114" w:rsidRDefault="00335D48"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82,23%</w:t>
            </w:r>
          </w:p>
        </w:tc>
      </w:tr>
      <w:tr w:rsidR="00335D48" w:rsidRPr="00646F55" w14:paraId="183BC7B4" w14:textId="77777777" w:rsidTr="00E94578">
        <w:trPr>
          <w:trHeight w:val="249"/>
        </w:trPr>
        <w:tc>
          <w:tcPr>
            <w:tcW w:w="1545" w:type="dxa"/>
            <w:shd w:val="clear" w:color="auto" w:fill="auto"/>
            <w:tcMar>
              <w:top w:w="15" w:type="dxa"/>
              <w:left w:w="15" w:type="dxa"/>
              <w:bottom w:w="0" w:type="dxa"/>
              <w:right w:w="15" w:type="dxa"/>
            </w:tcMar>
            <w:vAlign w:val="center"/>
          </w:tcPr>
          <w:p w14:paraId="1709F25E" w14:textId="0918882B" w:rsidR="00335D48" w:rsidRPr="00646F55" w:rsidRDefault="00335D48" w:rsidP="00335D48">
            <w:pPr>
              <w:rPr>
                <w:rFonts w:ascii="Century Gothic" w:hAnsi="Century Gothic" w:cs="Times New Roman"/>
                <w:sz w:val="12"/>
                <w:szCs w:val="20"/>
                <w:lang w:eastAsia="es-ES_tradnl"/>
              </w:rPr>
            </w:pPr>
            <w:r w:rsidRPr="00E94578">
              <w:rPr>
                <w:rFonts w:ascii="Century Gothic" w:hAnsi="Century Gothic" w:cs="Times New Roman"/>
                <w:sz w:val="12"/>
                <w:szCs w:val="20"/>
                <w:lang w:val="es-ES" w:eastAsia="es-ES_tradnl"/>
              </w:rPr>
              <w:t>Lodos de las plantas de tratamiento de aguas residuales industriales que contienen sustancias peligrosas</w:t>
            </w:r>
          </w:p>
        </w:tc>
        <w:tc>
          <w:tcPr>
            <w:tcW w:w="630" w:type="dxa"/>
            <w:vAlign w:val="center"/>
          </w:tcPr>
          <w:p w14:paraId="73A3C66E" w14:textId="38A07F18" w:rsidR="00335D48" w:rsidRPr="00E00114" w:rsidRDefault="00335D48"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467</w:t>
            </w:r>
          </w:p>
        </w:tc>
        <w:tc>
          <w:tcPr>
            <w:tcW w:w="582" w:type="dxa"/>
            <w:shd w:val="clear" w:color="auto" w:fill="auto"/>
            <w:tcMar>
              <w:top w:w="15" w:type="dxa"/>
              <w:left w:w="15" w:type="dxa"/>
              <w:bottom w:w="0" w:type="dxa"/>
              <w:right w:w="15" w:type="dxa"/>
            </w:tcMar>
            <w:vAlign w:val="center"/>
          </w:tcPr>
          <w:p w14:paraId="6D005255" w14:textId="45928070" w:rsidR="00335D48" w:rsidRPr="00E00114" w:rsidRDefault="00335D48"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462</w:t>
            </w:r>
          </w:p>
        </w:tc>
        <w:tc>
          <w:tcPr>
            <w:tcW w:w="603" w:type="dxa"/>
            <w:shd w:val="clear" w:color="auto" w:fill="auto"/>
            <w:tcMar>
              <w:top w:w="15" w:type="dxa"/>
              <w:left w:w="15" w:type="dxa"/>
              <w:bottom w:w="0" w:type="dxa"/>
              <w:right w:w="15" w:type="dxa"/>
            </w:tcMar>
            <w:vAlign w:val="center"/>
          </w:tcPr>
          <w:p w14:paraId="40638821" w14:textId="5F26A169" w:rsidR="00335D48" w:rsidRPr="00E00114" w:rsidRDefault="00335D48"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87,38</w:t>
            </w:r>
          </w:p>
        </w:tc>
        <w:tc>
          <w:tcPr>
            <w:tcW w:w="559" w:type="dxa"/>
            <w:shd w:val="clear" w:color="auto" w:fill="auto"/>
            <w:tcMar>
              <w:top w:w="15" w:type="dxa"/>
              <w:left w:w="15" w:type="dxa"/>
              <w:bottom w:w="0" w:type="dxa"/>
              <w:right w:w="15" w:type="dxa"/>
            </w:tcMar>
            <w:vAlign w:val="center"/>
          </w:tcPr>
          <w:p w14:paraId="456A4091" w14:textId="2A89EA0F" w:rsidR="00335D48" w:rsidRPr="00E00114" w:rsidRDefault="00335D48" w:rsidP="00335D48">
            <w:pPr>
              <w:pStyle w:val="NormalWeb"/>
              <w:spacing w:before="0" w:beforeAutospacing="0" w:after="0" w:afterAutospacing="0"/>
              <w:jc w:val="center"/>
              <w:textAlignment w:val="center"/>
              <w:rPr>
                <w:rFonts w:ascii="Century Gothic" w:hAnsi="Century Gothic"/>
                <w:sz w:val="14"/>
                <w:szCs w:val="14"/>
                <w:lang w:val="en-US"/>
              </w:rPr>
            </w:pPr>
            <w:r>
              <w:rPr>
                <w:rFonts w:ascii="Century Gothic" w:hAnsi="Century Gothic"/>
                <w:sz w:val="14"/>
                <w:szCs w:val="14"/>
                <w:lang w:val="en-US"/>
              </w:rPr>
              <w:t>7,24%</w:t>
            </w:r>
          </w:p>
        </w:tc>
      </w:tr>
      <w:tr w:rsidR="00335D48" w:rsidRPr="00646F55" w14:paraId="259A621C" w14:textId="77777777" w:rsidTr="00E94578">
        <w:trPr>
          <w:trHeight w:val="252"/>
        </w:trPr>
        <w:tc>
          <w:tcPr>
            <w:tcW w:w="1545" w:type="dxa"/>
            <w:shd w:val="clear" w:color="auto" w:fill="auto"/>
            <w:tcMar>
              <w:top w:w="15" w:type="dxa"/>
              <w:left w:w="15" w:type="dxa"/>
              <w:bottom w:w="0" w:type="dxa"/>
              <w:right w:w="15" w:type="dxa"/>
            </w:tcMar>
            <w:vAlign w:val="center"/>
          </w:tcPr>
          <w:p w14:paraId="7E41C6E4" w14:textId="3835ECA4" w:rsidR="00335D48" w:rsidRPr="00E94578" w:rsidRDefault="00335D48" w:rsidP="00335D48">
            <w:pPr>
              <w:rPr>
                <w:rFonts w:ascii="Century Gothic" w:hAnsi="Century Gothic" w:cs="Times New Roman"/>
                <w:sz w:val="12"/>
                <w:szCs w:val="20"/>
                <w:lang w:val="es-ES" w:eastAsia="es-ES_tradnl"/>
              </w:rPr>
            </w:pPr>
            <w:r>
              <w:rPr>
                <w:rFonts w:ascii="Century Gothic" w:hAnsi="Century Gothic" w:cs="Times New Roman"/>
                <w:sz w:val="12"/>
                <w:szCs w:val="20"/>
                <w:lang w:val="es-ES" w:eastAsia="es-ES_tradnl"/>
              </w:rPr>
              <w:t>Suelos contaminados con hidrocarburos generados por derrames</w:t>
            </w:r>
          </w:p>
        </w:tc>
        <w:tc>
          <w:tcPr>
            <w:tcW w:w="630" w:type="dxa"/>
            <w:vAlign w:val="center"/>
          </w:tcPr>
          <w:p w14:paraId="3C780A58" w14:textId="4E4EFF3F" w:rsidR="00335D48" w:rsidRPr="00E00114" w:rsidRDefault="004E7719"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22</w:t>
            </w:r>
          </w:p>
        </w:tc>
        <w:tc>
          <w:tcPr>
            <w:tcW w:w="582" w:type="dxa"/>
            <w:shd w:val="clear" w:color="auto" w:fill="auto"/>
            <w:tcMar>
              <w:top w:w="15" w:type="dxa"/>
              <w:left w:w="15" w:type="dxa"/>
              <w:bottom w:w="0" w:type="dxa"/>
              <w:right w:w="15" w:type="dxa"/>
            </w:tcMar>
            <w:vAlign w:val="center"/>
          </w:tcPr>
          <w:p w14:paraId="6431B300" w14:textId="526F7442" w:rsidR="00335D48" w:rsidRPr="00E00114" w:rsidRDefault="004E7719"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22</w:t>
            </w:r>
          </w:p>
        </w:tc>
        <w:tc>
          <w:tcPr>
            <w:tcW w:w="603" w:type="dxa"/>
            <w:shd w:val="clear" w:color="auto" w:fill="auto"/>
            <w:tcMar>
              <w:top w:w="15" w:type="dxa"/>
              <w:left w:w="15" w:type="dxa"/>
              <w:bottom w:w="0" w:type="dxa"/>
              <w:right w:w="15" w:type="dxa"/>
            </w:tcMar>
            <w:vAlign w:val="center"/>
          </w:tcPr>
          <w:p w14:paraId="61ACE974" w14:textId="6DCBF945" w:rsidR="00335D48" w:rsidRPr="00E00114" w:rsidRDefault="004E7719"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19,19</w:t>
            </w:r>
          </w:p>
        </w:tc>
        <w:tc>
          <w:tcPr>
            <w:tcW w:w="559" w:type="dxa"/>
            <w:shd w:val="clear" w:color="auto" w:fill="auto"/>
            <w:tcMar>
              <w:top w:w="15" w:type="dxa"/>
              <w:left w:w="15" w:type="dxa"/>
              <w:bottom w:w="0" w:type="dxa"/>
              <w:right w:w="15" w:type="dxa"/>
            </w:tcMar>
            <w:vAlign w:val="center"/>
          </w:tcPr>
          <w:p w14:paraId="4184FAE8" w14:textId="40583A02" w:rsidR="00335D48" w:rsidRPr="00E00114" w:rsidRDefault="004E7719"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1,59%</w:t>
            </w:r>
          </w:p>
        </w:tc>
      </w:tr>
      <w:tr w:rsidR="00335D48" w:rsidRPr="00646F55" w14:paraId="139304E4" w14:textId="77777777" w:rsidTr="00E94578">
        <w:trPr>
          <w:trHeight w:val="246"/>
        </w:trPr>
        <w:tc>
          <w:tcPr>
            <w:tcW w:w="1545" w:type="dxa"/>
            <w:shd w:val="clear" w:color="auto" w:fill="auto"/>
            <w:tcMar>
              <w:top w:w="15" w:type="dxa"/>
              <w:left w:w="15" w:type="dxa"/>
              <w:bottom w:w="0" w:type="dxa"/>
              <w:right w:w="15" w:type="dxa"/>
            </w:tcMar>
            <w:vAlign w:val="center"/>
          </w:tcPr>
          <w:p w14:paraId="5B6C03BC" w14:textId="04416F36" w:rsidR="00335D48" w:rsidRPr="00E94578" w:rsidRDefault="00335D48" w:rsidP="00335D48">
            <w:pPr>
              <w:rPr>
                <w:rFonts w:ascii="Century Gothic" w:hAnsi="Century Gothic" w:cs="Times New Roman"/>
                <w:sz w:val="12"/>
                <w:szCs w:val="20"/>
                <w:lang w:val="es-ES" w:eastAsia="es-ES_tradnl"/>
              </w:rPr>
            </w:pPr>
            <w:r w:rsidRPr="00E94578">
              <w:rPr>
                <w:rFonts w:ascii="Century Gothic" w:hAnsi="Century Gothic" w:cs="Times New Roman"/>
                <w:sz w:val="12"/>
                <w:szCs w:val="20"/>
                <w:lang w:val="es-ES" w:eastAsia="es-ES_tradnl"/>
              </w:rPr>
              <w:t>Lodos, ripios y desechos de perforación en superficie que contienen, hidrocarburos, HAP’s, Cadmio, Cromo (VI), Vanadio, Bario, Mercurio, Níquel</w:t>
            </w:r>
          </w:p>
        </w:tc>
        <w:tc>
          <w:tcPr>
            <w:tcW w:w="630" w:type="dxa"/>
            <w:vAlign w:val="center"/>
          </w:tcPr>
          <w:p w14:paraId="59D821EE" w14:textId="5C96E173" w:rsidR="00335D48" w:rsidRPr="00E00114" w:rsidRDefault="003D2DF4"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18</w:t>
            </w:r>
          </w:p>
        </w:tc>
        <w:tc>
          <w:tcPr>
            <w:tcW w:w="582" w:type="dxa"/>
            <w:shd w:val="clear" w:color="auto" w:fill="auto"/>
            <w:tcMar>
              <w:top w:w="15" w:type="dxa"/>
              <w:left w:w="15" w:type="dxa"/>
              <w:bottom w:w="0" w:type="dxa"/>
              <w:right w:w="15" w:type="dxa"/>
            </w:tcMar>
            <w:vAlign w:val="center"/>
          </w:tcPr>
          <w:p w14:paraId="539A911C" w14:textId="663BD599" w:rsidR="00335D48" w:rsidRPr="00E00114" w:rsidRDefault="003D2DF4"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18</w:t>
            </w:r>
          </w:p>
        </w:tc>
        <w:tc>
          <w:tcPr>
            <w:tcW w:w="603" w:type="dxa"/>
            <w:shd w:val="clear" w:color="auto" w:fill="auto"/>
            <w:tcMar>
              <w:top w:w="15" w:type="dxa"/>
              <w:left w:w="15" w:type="dxa"/>
              <w:bottom w:w="0" w:type="dxa"/>
              <w:right w:w="15" w:type="dxa"/>
            </w:tcMar>
            <w:vAlign w:val="center"/>
          </w:tcPr>
          <w:p w14:paraId="6BBDBD5B" w14:textId="7D48BD6C" w:rsidR="00335D48" w:rsidRPr="00E00114" w:rsidRDefault="003D2DF4"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14,77</w:t>
            </w:r>
          </w:p>
        </w:tc>
        <w:tc>
          <w:tcPr>
            <w:tcW w:w="559" w:type="dxa"/>
            <w:shd w:val="clear" w:color="auto" w:fill="auto"/>
            <w:tcMar>
              <w:top w:w="15" w:type="dxa"/>
              <w:left w:w="15" w:type="dxa"/>
              <w:bottom w:w="0" w:type="dxa"/>
              <w:right w:w="15" w:type="dxa"/>
            </w:tcMar>
            <w:vAlign w:val="center"/>
          </w:tcPr>
          <w:p w14:paraId="69163242" w14:textId="62CC11E3" w:rsidR="00335D48" w:rsidRPr="00E00114" w:rsidRDefault="003D2DF4"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1,22%</w:t>
            </w:r>
          </w:p>
        </w:tc>
      </w:tr>
      <w:tr w:rsidR="00335D48" w:rsidRPr="00646F55" w14:paraId="788DB795" w14:textId="77777777" w:rsidTr="00E94578">
        <w:trPr>
          <w:trHeight w:val="251"/>
        </w:trPr>
        <w:tc>
          <w:tcPr>
            <w:tcW w:w="1545" w:type="dxa"/>
            <w:shd w:val="clear" w:color="auto" w:fill="auto"/>
            <w:tcMar>
              <w:top w:w="15" w:type="dxa"/>
              <w:left w:w="15" w:type="dxa"/>
              <w:bottom w:w="0" w:type="dxa"/>
              <w:right w:w="15" w:type="dxa"/>
            </w:tcMar>
            <w:vAlign w:val="center"/>
          </w:tcPr>
          <w:p w14:paraId="0A2F5C6C" w14:textId="692BE84D" w:rsidR="00335D48" w:rsidRPr="00E94578" w:rsidRDefault="00335D48" w:rsidP="00335D48">
            <w:pPr>
              <w:rPr>
                <w:rFonts w:ascii="Century Gothic" w:hAnsi="Century Gothic" w:cs="Times New Roman"/>
                <w:sz w:val="12"/>
                <w:szCs w:val="20"/>
                <w:lang w:val="es-ES" w:eastAsia="es-ES_tradnl"/>
              </w:rPr>
            </w:pPr>
            <w:r w:rsidRPr="00E94578">
              <w:rPr>
                <w:rFonts w:ascii="Century Gothic" w:hAnsi="Century Gothic" w:cs="Times New Roman"/>
                <w:sz w:val="12"/>
                <w:szCs w:val="20"/>
                <w:lang w:val="es-ES" w:eastAsia="es-ES_tradnl"/>
              </w:rPr>
              <w:t>Otros desechos peligrosos</w:t>
            </w:r>
          </w:p>
        </w:tc>
        <w:tc>
          <w:tcPr>
            <w:tcW w:w="630" w:type="dxa"/>
            <w:vAlign w:val="center"/>
          </w:tcPr>
          <w:p w14:paraId="55F95A8C" w14:textId="5CE09BF4" w:rsidR="00335D48" w:rsidRPr="00E00114" w:rsidRDefault="00335D48"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sidRPr="00E00114">
              <w:rPr>
                <w:rFonts w:ascii="Century Gothic" w:hAnsi="Century Gothic" w:cs="Arial"/>
                <w:color w:val="000000" w:themeColor="text1"/>
                <w:kern w:val="24"/>
                <w:sz w:val="14"/>
                <w:szCs w:val="14"/>
                <w:lang w:val="es-EC"/>
              </w:rPr>
              <w:t>1,7</w:t>
            </w:r>
            <w:r w:rsidR="00B701DF">
              <w:rPr>
                <w:rFonts w:ascii="Century Gothic" w:hAnsi="Century Gothic" w:cs="Arial"/>
                <w:color w:val="000000" w:themeColor="text1"/>
                <w:kern w:val="24"/>
                <w:sz w:val="14"/>
                <w:szCs w:val="14"/>
                <w:lang w:val="es-EC"/>
              </w:rPr>
              <w:t>92</w:t>
            </w:r>
          </w:p>
        </w:tc>
        <w:tc>
          <w:tcPr>
            <w:tcW w:w="582" w:type="dxa"/>
            <w:shd w:val="clear" w:color="auto" w:fill="auto"/>
            <w:tcMar>
              <w:top w:w="15" w:type="dxa"/>
              <w:left w:w="15" w:type="dxa"/>
              <w:bottom w:w="0" w:type="dxa"/>
              <w:right w:w="15" w:type="dxa"/>
            </w:tcMar>
            <w:vAlign w:val="center"/>
          </w:tcPr>
          <w:p w14:paraId="5A13995B" w14:textId="29828DC9" w:rsidR="00335D48" w:rsidRPr="00E00114" w:rsidRDefault="00401D89"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1,682</w:t>
            </w:r>
          </w:p>
        </w:tc>
        <w:tc>
          <w:tcPr>
            <w:tcW w:w="603" w:type="dxa"/>
            <w:shd w:val="clear" w:color="auto" w:fill="auto"/>
            <w:tcMar>
              <w:top w:w="15" w:type="dxa"/>
              <w:left w:w="15" w:type="dxa"/>
              <w:bottom w:w="0" w:type="dxa"/>
              <w:right w:w="15" w:type="dxa"/>
            </w:tcMar>
            <w:vAlign w:val="center"/>
          </w:tcPr>
          <w:p w14:paraId="3CEF127F" w14:textId="46D2F63E" w:rsidR="00335D48" w:rsidRPr="00E00114" w:rsidRDefault="00B701DF"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Pr>
                <w:rFonts w:ascii="Century Gothic" w:hAnsi="Century Gothic" w:cs="Arial"/>
                <w:color w:val="000000" w:themeColor="text1"/>
                <w:kern w:val="24"/>
                <w:sz w:val="14"/>
                <w:szCs w:val="14"/>
                <w:lang w:val="es-EC"/>
              </w:rPr>
              <w:t>9</w:t>
            </w:r>
            <w:r w:rsidR="00335D48" w:rsidRPr="00E00114">
              <w:rPr>
                <w:rFonts w:ascii="Century Gothic" w:hAnsi="Century Gothic" w:cs="Arial"/>
                <w:color w:val="000000" w:themeColor="text1"/>
                <w:kern w:val="24"/>
                <w:sz w:val="14"/>
                <w:szCs w:val="14"/>
                <w:lang w:val="es-EC"/>
              </w:rPr>
              <w:t>3</w:t>
            </w:r>
            <w:r>
              <w:rPr>
                <w:rFonts w:ascii="Century Gothic" w:hAnsi="Century Gothic" w:cs="Arial"/>
                <w:color w:val="000000" w:themeColor="text1"/>
                <w:kern w:val="24"/>
                <w:sz w:val="14"/>
                <w:szCs w:val="14"/>
                <w:lang w:val="es-EC"/>
              </w:rPr>
              <w:t>,21</w:t>
            </w:r>
          </w:p>
        </w:tc>
        <w:tc>
          <w:tcPr>
            <w:tcW w:w="559" w:type="dxa"/>
            <w:shd w:val="clear" w:color="auto" w:fill="auto"/>
            <w:tcMar>
              <w:top w:w="15" w:type="dxa"/>
              <w:left w:w="15" w:type="dxa"/>
              <w:bottom w:w="0" w:type="dxa"/>
              <w:right w:w="15" w:type="dxa"/>
            </w:tcMar>
            <w:vAlign w:val="center"/>
          </w:tcPr>
          <w:p w14:paraId="3AA57531" w14:textId="58E09345" w:rsidR="00335D48" w:rsidRPr="00E00114" w:rsidRDefault="00335D48" w:rsidP="00335D48">
            <w:pPr>
              <w:pStyle w:val="NormalWeb"/>
              <w:spacing w:before="0" w:beforeAutospacing="0" w:after="0" w:afterAutospacing="0"/>
              <w:jc w:val="center"/>
              <w:textAlignment w:val="center"/>
              <w:rPr>
                <w:rFonts w:ascii="Century Gothic" w:hAnsi="Century Gothic" w:cs="Arial"/>
                <w:color w:val="000000" w:themeColor="text1"/>
                <w:kern w:val="24"/>
                <w:sz w:val="14"/>
                <w:szCs w:val="14"/>
                <w:lang w:val="es-EC"/>
              </w:rPr>
            </w:pPr>
            <w:r w:rsidRPr="00E00114">
              <w:rPr>
                <w:rFonts w:ascii="Century Gothic" w:hAnsi="Century Gothic" w:cs="Arial"/>
                <w:color w:val="000000" w:themeColor="text1"/>
                <w:kern w:val="24"/>
                <w:sz w:val="14"/>
                <w:szCs w:val="14"/>
                <w:lang w:val="es-EC"/>
              </w:rPr>
              <w:t>7</w:t>
            </w:r>
            <w:r w:rsidR="00B701DF">
              <w:rPr>
                <w:rFonts w:ascii="Century Gothic" w:hAnsi="Century Gothic" w:cs="Arial"/>
                <w:color w:val="000000" w:themeColor="text1"/>
                <w:kern w:val="24"/>
                <w:sz w:val="14"/>
                <w:szCs w:val="14"/>
                <w:lang w:val="es-EC"/>
              </w:rPr>
              <w:t>,</w:t>
            </w:r>
            <w:r w:rsidRPr="00E00114">
              <w:rPr>
                <w:rFonts w:ascii="Century Gothic" w:hAnsi="Century Gothic" w:cs="Arial"/>
                <w:color w:val="000000" w:themeColor="text1"/>
                <w:kern w:val="24"/>
                <w:sz w:val="14"/>
                <w:szCs w:val="14"/>
                <w:lang w:val="es-EC"/>
              </w:rPr>
              <w:t>7</w:t>
            </w:r>
            <w:r w:rsidR="00B701DF">
              <w:rPr>
                <w:rFonts w:ascii="Century Gothic" w:hAnsi="Century Gothic" w:cs="Arial"/>
                <w:color w:val="000000" w:themeColor="text1"/>
                <w:kern w:val="24"/>
                <w:sz w:val="14"/>
                <w:szCs w:val="14"/>
                <w:lang w:val="es-EC"/>
              </w:rPr>
              <w:t>2</w:t>
            </w:r>
            <w:r w:rsidRPr="00E00114">
              <w:rPr>
                <w:rFonts w:ascii="Century Gothic" w:hAnsi="Century Gothic" w:cs="Arial"/>
                <w:color w:val="000000" w:themeColor="text1"/>
                <w:kern w:val="24"/>
                <w:sz w:val="14"/>
                <w:szCs w:val="14"/>
                <w:lang w:val="es-EC"/>
              </w:rPr>
              <w:t>%</w:t>
            </w:r>
          </w:p>
        </w:tc>
      </w:tr>
    </w:tbl>
    <w:p w14:paraId="6FC8C6B6" w14:textId="77777777" w:rsidR="00646F55" w:rsidRPr="00646F55" w:rsidRDefault="00646F55" w:rsidP="00646F55">
      <w:pPr>
        <w:jc w:val="both"/>
        <w:rPr>
          <w:rFonts w:ascii="Century Gothic" w:hAnsi="Century Gothic" w:cs="Calibri"/>
          <w:b/>
          <w:color w:val="404040" w:themeColor="text1" w:themeTint="BF"/>
          <w:sz w:val="14"/>
          <w:szCs w:val="14"/>
        </w:rPr>
      </w:pPr>
    </w:p>
    <w:p w14:paraId="047C306D" w14:textId="37969250" w:rsidR="00646F55" w:rsidRPr="00646F55" w:rsidRDefault="00646F55" w:rsidP="00646F55">
      <w:pPr>
        <w:jc w:val="both"/>
        <w:rPr>
          <w:rFonts w:ascii="Century Gothic" w:hAnsi="Century Gothic" w:cs="Calibri"/>
          <w:color w:val="404040" w:themeColor="text1" w:themeTint="BF"/>
          <w:sz w:val="14"/>
          <w:szCs w:val="14"/>
        </w:rPr>
      </w:pPr>
      <w:r w:rsidRPr="00646F55">
        <w:rPr>
          <w:rFonts w:ascii="Century Gothic" w:hAnsi="Century Gothic" w:cs="Calibri"/>
          <w:b/>
          <w:color w:val="404040" w:themeColor="text1" w:themeTint="BF"/>
          <w:sz w:val="14"/>
          <w:szCs w:val="14"/>
        </w:rPr>
        <w:t>Fuente:</w:t>
      </w:r>
      <w:r w:rsidRPr="00646F55">
        <w:rPr>
          <w:rFonts w:ascii="Century Gothic" w:hAnsi="Century Gothic" w:cs="Calibri"/>
          <w:color w:val="404040" w:themeColor="text1" w:themeTint="BF"/>
          <w:sz w:val="14"/>
          <w:szCs w:val="14"/>
        </w:rPr>
        <w:t xml:space="preserve"> Módulo Ambiental </w:t>
      </w:r>
      <w:r w:rsidR="004244DA">
        <w:rPr>
          <w:rFonts w:ascii="Century Gothic" w:hAnsi="Century Gothic" w:cs="Calibri"/>
          <w:color w:val="404040" w:themeColor="text1" w:themeTint="BF"/>
          <w:sz w:val="14"/>
          <w:szCs w:val="14"/>
        </w:rPr>
        <w:t xml:space="preserve">Económica </w:t>
      </w:r>
      <w:r w:rsidRPr="00646F55">
        <w:rPr>
          <w:rFonts w:ascii="Century Gothic" w:hAnsi="Century Gothic" w:cs="Calibri"/>
          <w:color w:val="404040" w:themeColor="text1" w:themeTint="BF"/>
          <w:sz w:val="14"/>
          <w:szCs w:val="14"/>
        </w:rPr>
        <w:t xml:space="preserve">ENESEM </w:t>
      </w:r>
      <w:r w:rsidR="003540AD">
        <w:rPr>
          <w:rFonts w:ascii="Century Gothic" w:hAnsi="Century Gothic" w:cs="Calibri"/>
          <w:color w:val="404040" w:themeColor="text1" w:themeTint="BF"/>
          <w:sz w:val="14"/>
          <w:szCs w:val="14"/>
        </w:rPr>
        <w:t>202</w:t>
      </w:r>
      <w:r w:rsidR="00724A78">
        <w:rPr>
          <w:rFonts w:ascii="Century Gothic" w:hAnsi="Century Gothic" w:cs="Calibri"/>
          <w:color w:val="404040" w:themeColor="text1" w:themeTint="BF"/>
          <w:sz w:val="14"/>
          <w:szCs w:val="14"/>
        </w:rPr>
        <w:t>1</w:t>
      </w:r>
      <w:r w:rsidRPr="00646F55">
        <w:rPr>
          <w:rFonts w:ascii="Century Gothic" w:hAnsi="Century Gothic" w:cs="Calibri"/>
          <w:color w:val="404040" w:themeColor="text1" w:themeTint="BF"/>
          <w:sz w:val="14"/>
          <w:szCs w:val="14"/>
        </w:rPr>
        <w:t>.</w:t>
      </w:r>
    </w:p>
    <w:p w14:paraId="2B5A8643" w14:textId="77777777" w:rsidR="00646F55" w:rsidRPr="00360537" w:rsidRDefault="00646F55" w:rsidP="00646F55">
      <w:pPr>
        <w:jc w:val="both"/>
        <w:rPr>
          <w:rFonts w:ascii="Century Gothic" w:hAnsi="Century Gothic" w:cs="Times New Roman"/>
          <w:sz w:val="21"/>
          <w:szCs w:val="21"/>
          <w:lang w:eastAsia="es-ES_tradnl"/>
        </w:rPr>
      </w:pPr>
    </w:p>
    <w:p w14:paraId="4ADD88D0" w14:textId="18276945" w:rsidR="00646F55" w:rsidRPr="00360537" w:rsidRDefault="00646F55" w:rsidP="00646F55">
      <w:pPr>
        <w:jc w:val="both"/>
        <w:rPr>
          <w:rFonts w:ascii="Century Gothic" w:hAnsi="Century Gothic" w:cs="Times New Roman"/>
          <w:sz w:val="21"/>
          <w:szCs w:val="21"/>
          <w:lang w:eastAsia="es-ES_tradnl"/>
        </w:rPr>
      </w:pPr>
      <w:r w:rsidRPr="00360537">
        <w:rPr>
          <w:rFonts w:ascii="Century Gothic" w:hAnsi="Century Gothic" w:cs="Times New Roman"/>
          <w:sz w:val="21"/>
          <w:szCs w:val="21"/>
          <w:lang w:eastAsia="es-ES_tradnl"/>
        </w:rPr>
        <w:t>En general, puede decirse que la gestión de los residuos no es muy adecuada, a juzgar por la cantidad de empresas que conocen las cantidades de residuos generados con respecto al total de empresas que generan los residuos. Así, en el caso de los d</w:t>
      </w:r>
      <w:r w:rsidR="00CA4972">
        <w:rPr>
          <w:rFonts w:ascii="Century Gothic" w:hAnsi="Century Gothic" w:cs="Times New Roman"/>
          <w:sz w:val="21"/>
          <w:szCs w:val="21"/>
          <w:lang w:eastAsia="es-ES_tradnl"/>
        </w:rPr>
        <w:t>esech</w:t>
      </w:r>
      <w:r w:rsidRPr="00360537">
        <w:rPr>
          <w:rFonts w:ascii="Century Gothic" w:hAnsi="Century Gothic" w:cs="Times New Roman"/>
          <w:sz w:val="21"/>
          <w:szCs w:val="21"/>
          <w:lang w:eastAsia="es-ES_tradnl"/>
        </w:rPr>
        <w:t xml:space="preserve">os </w:t>
      </w:r>
      <w:r w:rsidR="00CA4972">
        <w:rPr>
          <w:rFonts w:ascii="Century Gothic" w:hAnsi="Century Gothic" w:cs="Times New Roman"/>
          <w:sz w:val="21"/>
          <w:szCs w:val="21"/>
          <w:lang w:eastAsia="es-ES_tradnl"/>
        </w:rPr>
        <w:t>es</w:t>
      </w:r>
      <w:r w:rsidRPr="00360537">
        <w:rPr>
          <w:rFonts w:ascii="Century Gothic" w:hAnsi="Century Gothic" w:cs="Times New Roman"/>
          <w:sz w:val="21"/>
          <w:szCs w:val="21"/>
          <w:lang w:eastAsia="es-ES_tradnl"/>
        </w:rPr>
        <w:t>pe</w:t>
      </w:r>
      <w:r w:rsidR="00CA4972">
        <w:rPr>
          <w:rFonts w:ascii="Century Gothic" w:hAnsi="Century Gothic" w:cs="Times New Roman"/>
          <w:sz w:val="21"/>
          <w:szCs w:val="21"/>
          <w:lang w:eastAsia="es-ES_tradnl"/>
        </w:rPr>
        <w:t>cia</w:t>
      </w:r>
      <w:r w:rsidRPr="00360537">
        <w:rPr>
          <w:rFonts w:ascii="Century Gothic" w:hAnsi="Century Gothic" w:cs="Times New Roman"/>
          <w:sz w:val="21"/>
          <w:szCs w:val="21"/>
          <w:lang w:eastAsia="es-ES_tradnl"/>
        </w:rPr>
        <w:t>l</w:t>
      </w:r>
      <w:r w:rsidR="00CA4972">
        <w:rPr>
          <w:rFonts w:ascii="Century Gothic" w:hAnsi="Century Gothic" w:cs="Times New Roman"/>
          <w:sz w:val="21"/>
          <w:szCs w:val="21"/>
          <w:lang w:eastAsia="es-ES_tradnl"/>
        </w:rPr>
        <w:t>e</w:t>
      </w:r>
      <w:r w:rsidRPr="00360537">
        <w:rPr>
          <w:rFonts w:ascii="Century Gothic" w:hAnsi="Century Gothic" w:cs="Times New Roman"/>
          <w:sz w:val="21"/>
          <w:szCs w:val="21"/>
          <w:lang w:eastAsia="es-ES_tradnl"/>
        </w:rPr>
        <w:t xml:space="preserve">s generados, apenas el </w:t>
      </w:r>
      <w:r w:rsidR="00CA4972">
        <w:rPr>
          <w:rFonts w:ascii="Century Gothic" w:hAnsi="Century Gothic" w:cs="Times New Roman"/>
          <w:sz w:val="21"/>
          <w:szCs w:val="21"/>
          <w:lang w:eastAsia="es-ES_tradnl"/>
        </w:rPr>
        <w:t>27</w:t>
      </w:r>
      <w:r w:rsidR="004244DA">
        <w:rPr>
          <w:rFonts w:ascii="Century Gothic" w:hAnsi="Century Gothic" w:cs="Times New Roman"/>
          <w:sz w:val="21"/>
          <w:szCs w:val="21"/>
          <w:lang w:eastAsia="es-ES_tradnl"/>
        </w:rPr>
        <w:t>,</w:t>
      </w:r>
      <w:r w:rsidR="00CA4972">
        <w:rPr>
          <w:rFonts w:ascii="Century Gothic" w:hAnsi="Century Gothic" w:cs="Times New Roman"/>
          <w:sz w:val="21"/>
          <w:szCs w:val="21"/>
          <w:lang w:eastAsia="es-ES_tradnl"/>
        </w:rPr>
        <w:t>26</w:t>
      </w:r>
      <w:r w:rsidRPr="00360537">
        <w:rPr>
          <w:rFonts w:ascii="Century Gothic" w:hAnsi="Century Gothic" w:cs="Times New Roman"/>
          <w:sz w:val="21"/>
          <w:szCs w:val="21"/>
          <w:lang w:eastAsia="es-ES_tradnl"/>
        </w:rPr>
        <w:t>% de empresas que generan desecho</w:t>
      </w:r>
      <w:r w:rsidR="00CA4972">
        <w:rPr>
          <w:rFonts w:ascii="Century Gothic" w:hAnsi="Century Gothic" w:cs="Times New Roman"/>
          <w:sz w:val="21"/>
          <w:szCs w:val="21"/>
          <w:lang w:eastAsia="es-ES_tradnl"/>
        </w:rPr>
        <w:t>s especiales</w:t>
      </w:r>
      <w:r w:rsidRPr="00360537">
        <w:rPr>
          <w:rFonts w:ascii="Century Gothic" w:hAnsi="Century Gothic" w:cs="Times New Roman"/>
          <w:sz w:val="21"/>
          <w:szCs w:val="21"/>
          <w:lang w:eastAsia="es-ES_tradnl"/>
        </w:rPr>
        <w:t xml:space="preserve"> conoce las cantidades generadas</w:t>
      </w:r>
      <w:r w:rsidR="00CA4972">
        <w:rPr>
          <w:rFonts w:ascii="Century Gothic" w:hAnsi="Century Gothic" w:cs="Times New Roman"/>
          <w:sz w:val="21"/>
          <w:szCs w:val="21"/>
          <w:lang w:eastAsia="es-ES_tradnl"/>
        </w:rPr>
        <w:t>. En el caso de los desechos peligrosos, este valor sube a 36,56%</w:t>
      </w:r>
      <w:r w:rsidRPr="00360537">
        <w:rPr>
          <w:rFonts w:ascii="Century Gothic" w:hAnsi="Century Gothic" w:cs="Times New Roman"/>
          <w:sz w:val="21"/>
          <w:szCs w:val="21"/>
          <w:lang w:eastAsia="es-ES_tradnl"/>
        </w:rPr>
        <w:t>.</w:t>
      </w:r>
    </w:p>
    <w:p w14:paraId="2FD6708D" w14:textId="77777777" w:rsidR="00646F55" w:rsidRPr="00360537" w:rsidRDefault="00646F55" w:rsidP="00646F55">
      <w:pPr>
        <w:jc w:val="both"/>
        <w:rPr>
          <w:rFonts w:ascii="Century Gothic" w:hAnsi="Century Gothic" w:cs="Times New Roman"/>
          <w:sz w:val="21"/>
          <w:szCs w:val="21"/>
          <w:lang w:eastAsia="es-ES_tradnl"/>
        </w:rPr>
      </w:pPr>
    </w:p>
    <w:p w14:paraId="50A894A8" w14:textId="69EBA547" w:rsidR="00646F55" w:rsidRPr="00360537" w:rsidRDefault="00646F55" w:rsidP="00646F55">
      <w:pPr>
        <w:jc w:val="both"/>
        <w:rPr>
          <w:rFonts w:ascii="Century Gothic" w:hAnsi="Century Gothic" w:cs="Times New Roman"/>
          <w:sz w:val="21"/>
          <w:szCs w:val="21"/>
          <w:lang w:eastAsia="es-ES_tradnl"/>
        </w:rPr>
      </w:pPr>
      <w:r w:rsidRPr="00360537">
        <w:rPr>
          <w:rFonts w:ascii="Century Gothic" w:hAnsi="Century Gothic" w:cs="Times New Roman"/>
          <w:sz w:val="21"/>
          <w:szCs w:val="21"/>
          <w:lang w:eastAsia="es-ES_tradnl"/>
        </w:rPr>
        <w:t xml:space="preserve">Esta situación debería ser tomada en cuenta por la autoridad ambiental, </w:t>
      </w:r>
      <w:r w:rsidRPr="00360537">
        <w:rPr>
          <w:rFonts w:ascii="Century Gothic" w:hAnsi="Century Gothic" w:cs="Times New Roman"/>
          <w:sz w:val="21"/>
          <w:szCs w:val="21"/>
          <w:lang w:eastAsia="es-ES_tradnl"/>
        </w:rPr>
        <w:t>pues el registro interno de las cantidades generadas debería ser oblig</w:t>
      </w:r>
      <w:r w:rsidR="00360537">
        <w:rPr>
          <w:rFonts w:ascii="Century Gothic" w:hAnsi="Century Gothic" w:cs="Times New Roman"/>
          <w:sz w:val="21"/>
          <w:szCs w:val="21"/>
          <w:lang w:eastAsia="es-ES_tradnl"/>
        </w:rPr>
        <w:t>atorio para todas las empresas –</w:t>
      </w:r>
      <w:r w:rsidRPr="00360537">
        <w:rPr>
          <w:rFonts w:ascii="Century Gothic" w:hAnsi="Century Gothic" w:cs="Times New Roman"/>
          <w:sz w:val="21"/>
          <w:szCs w:val="21"/>
          <w:lang w:eastAsia="es-ES_tradnl"/>
        </w:rPr>
        <w:t>al menos así lo establece la norma, tanto para las empresas que generan desechos especiales y peligrosos, pues estas cantidades generadas también las registra el Ministerio del Ambiente–, y no únicamente para las empresas grandes y/o que tengan licencia ambiental.</w:t>
      </w:r>
    </w:p>
    <w:p w14:paraId="6E5BDD26" w14:textId="77777777" w:rsidR="00646F55" w:rsidRPr="000D670F" w:rsidRDefault="00646F55" w:rsidP="00646F55">
      <w:pPr>
        <w:pStyle w:val="Ttulo1"/>
        <w:rPr>
          <w:rFonts w:ascii="Century Gothic" w:eastAsiaTheme="minorHAnsi" w:hAnsi="Century Gothic" w:cstheme="minorBidi"/>
          <w:color w:val="646482"/>
          <w:lang w:val="es-EC" w:eastAsia="en-US" w:bidi="ar-SA"/>
        </w:rPr>
      </w:pPr>
      <w:bookmarkStart w:id="30" w:name="_Toc132722351"/>
      <w:r w:rsidRPr="000D670F">
        <w:rPr>
          <w:rFonts w:ascii="Century Gothic" w:eastAsiaTheme="minorHAnsi" w:hAnsi="Century Gothic" w:cstheme="minorBidi"/>
          <w:color w:val="646482"/>
          <w:lang w:val="es-EC" w:eastAsia="en-US" w:bidi="ar-SA"/>
        </w:rPr>
        <w:t>Conclusiones</w:t>
      </w:r>
      <w:bookmarkEnd w:id="30"/>
    </w:p>
    <w:p w14:paraId="553FFF21" w14:textId="77777777" w:rsidR="00646F55" w:rsidRPr="00360537" w:rsidRDefault="00646F55" w:rsidP="00646F55">
      <w:pPr>
        <w:jc w:val="both"/>
        <w:rPr>
          <w:rFonts w:ascii="Century Gothic" w:hAnsi="Century Gothic" w:cs="Times New Roman"/>
          <w:sz w:val="21"/>
          <w:szCs w:val="21"/>
          <w:lang w:eastAsia="es-ES_tradnl"/>
        </w:rPr>
      </w:pPr>
    </w:p>
    <w:p w14:paraId="132B6670" w14:textId="0A9695DC" w:rsidR="00646F55" w:rsidRDefault="006C0B88" w:rsidP="00646F55">
      <w:pPr>
        <w:jc w:val="both"/>
        <w:rPr>
          <w:rFonts w:ascii="Century Gothic" w:hAnsi="Century Gothic"/>
          <w:sz w:val="21"/>
          <w:szCs w:val="21"/>
        </w:rPr>
      </w:pPr>
      <w:r>
        <w:rPr>
          <w:rFonts w:ascii="Century Gothic" w:hAnsi="Century Gothic"/>
          <w:sz w:val="21"/>
          <w:szCs w:val="21"/>
        </w:rPr>
        <w:t>El fenómeno del impacto causado por las empresas nacionales en el ambiente -y en general, en la Naturaleza- es complejo y diverso. Es un hecho conocido que la economía de las empresas no tiene una relación directa o lineal con el tema ambiental de las mismas. En general, la relación entre la dimensión ambiental y económica de las empresas es altamente no lineal.</w:t>
      </w:r>
    </w:p>
    <w:p w14:paraId="4DFFCA13" w14:textId="68F81ABC" w:rsidR="000126B3" w:rsidRDefault="000126B3" w:rsidP="00646F55">
      <w:pPr>
        <w:jc w:val="both"/>
        <w:rPr>
          <w:rFonts w:ascii="Century Gothic" w:hAnsi="Century Gothic"/>
          <w:sz w:val="21"/>
          <w:szCs w:val="21"/>
        </w:rPr>
      </w:pPr>
    </w:p>
    <w:p w14:paraId="1126845A" w14:textId="323876B6" w:rsidR="000126B3" w:rsidRDefault="000126B3" w:rsidP="00646F55">
      <w:pPr>
        <w:jc w:val="both"/>
        <w:rPr>
          <w:rFonts w:ascii="Century Gothic" w:hAnsi="Century Gothic"/>
          <w:sz w:val="21"/>
          <w:szCs w:val="21"/>
        </w:rPr>
      </w:pPr>
      <w:r>
        <w:rPr>
          <w:rFonts w:ascii="Century Gothic" w:hAnsi="Century Gothic"/>
          <w:sz w:val="21"/>
          <w:szCs w:val="21"/>
        </w:rPr>
        <w:t>Por tal motivo, en el Instituto Nacional de Estadística y Censos (INEC) se ha creído pertinente investigar la relación que existe entre las dimensiones ambiental y económica de las empresas del país. Desde hace cinco años, en el Módulo de Información Ambiental Económica de la Encuesta Estructural Empresarial (ENESEM) se viene investigando varios temas relacionados con el ambiente y la economía de las empresas, para así revelar el complejo entramado de la r</w:t>
      </w:r>
      <w:r w:rsidR="005E44C3">
        <w:rPr>
          <w:rFonts w:ascii="Century Gothic" w:hAnsi="Century Gothic"/>
          <w:sz w:val="21"/>
          <w:szCs w:val="21"/>
        </w:rPr>
        <w:t>e</w:t>
      </w:r>
      <w:r>
        <w:rPr>
          <w:rFonts w:ascii="Century Gothic" w:hAnsi="Century Gothic"/>
          <w:sz w:val="21"/>
          <w:szCs w:val="21"/>
        </w:rPr>
        <w:t xml:space="preserve">lación así </w:t>
      </w:r>
      <w:r w:rsidR="005E44C3">
        <w:rPr>
          <w:rFonts w:ascii="Century Gothic" w:hAnsi="Century Gothic"/>
          <w:sz w:val="21"/>
          <w:szCs w:val="21"/>
        </w:rPr>
        <w:t>señalada.</w:t>
      </w:r>
    </w:p>
    <w:p w14:paraId="3B2EE7A1" w14:textId="1178D838" w:rsidR="005E44C3" w:rsidRDefault="005E44C3" w:rsidP="00646F55">
      <w:pPr>
        <w:jc w:val="both"/>
        <w:rPr>
          <w:rFonts w:ascii="Century Gothic" w:hAnsi="Century Gothic"/>
          <w:sz w:val="21"/>
          <w:szCs w:val="21"/>
        </w:rPr>
      </w:pPr>
    </w:p>
    <w:p w14:paraId="640B8FD1" w14:textId="4C4B8AF0" w:rsidR="005E44C3" w:rsidRPr="00360537" w:rsidRDefault="005E44C3" w:rsidP="00646F55">
      <w:pPr>
        <w:jc w:val="both"/>
        <w:rPr>
          <w:rFonts w:ascii="Century Gothic" w:hAnsi="Century Gothic"/>
          <w:sz w:val="21"/>
          <w:szCs w:val="21"/>
        </w:rPr>
      </w:pPr>
      <w:r>
        <w:rPr>
          <w:rFonts w:ascii="Century Gothic" w:hAnsi="Century Gothic"/>
          <w:sz w:val="21"/>
          <w:szCs w:val="21"/>
        </w:rPr>
        <w:t xml:space="preserve">Estos temas son: </w:t>
      </w:r>
      <w:r w:rsidR="00AA6BCF">
        <w:rPr>
          <w:rFonts w:ascii="Century Gothic" w:hAnsi="Century Gothic"/>
          <w:sz w:val="21"/>
          <w:szCs w:val="21"/>
        </w:rPr>
        <w:t>g</w:t>
      </w:r>
      <w:r>
        <w:rPr>
          <w:rFonts w:ascii="Century Gothic" w:hAnsi="Century Gothic"/>
          <w:sz w:val="21"/>
          <w:szCs w:val="21"/>
        </w:rPr>
        <w:t>estión ambiental, gastos corrientes ambientales, energía y combustibles, agua</w:t>
      </w:r>
      <w:r w:rsidR="00E9255B">
        <w:rPr>
          <w:rFonts w:ascii="Century Gothic" w:hAnsi="Century Gothic"/>
          <w:sz w:val="21"/>
          <w:szCs w:val="21"/>
        </w:rPr>
        <w:t xml:space="preserve"> de consumo, aguas residuales</w:t>
      </w:r>
      <w:r>
        <w:rPr>
          <w:rFonts w:ascii="Century Gothic" w:hAnsi="Century Gothic"/>
          <w:sz w:val="21"/>
          <w:szCs w:val="21"/>
        </w:rPr>
        <w:t xml:space="preserve"> y generación y tratamiento de desechos especiales y peligrosos.</w:t>
      </w:r>
    </w:p>
    <w:p w14:paraId="5938C22B" w14:textId="2E1BEC7E" w:rsidR="00172F03" w:rsidRDefault="00646F55" w:rsidP="00646F55">
      <w:pPr>
        <w:jc w:val="both"/>
        <w:rPr>
          <w:rFonts w:ascii="Century Gothic" w:hAnsi="Century Gothic"/>
          <w:sz w:val="21"/>
          <w:szCs w:val="21"/>
        </w:rPr>
      </w:pPr>
      <w:r w:rsidRPr="00360537">
        <w:rPr>
          <w:rFonts w:ascii="Century Gothic" w:hAnsi="Century Gothic"/>
          <w:sz w:val="21"/>
          <w:szCs w:val="21"/>
        </w:rPr>
        <w:lastRenderedPageBreak/>
        <w:t xml:space="preserve">Comparando entre los años </w:t>
      </w:r>
      <w:r w:rsidR="003540AD">
        <w:rPr>
          <w:rFonts w:ascii="Century Gothic" w:hAnsi="Century Gothic"/>
          <w:sz w:val="21"/>
          <w:szCs w:val="21"/>
        </w:rPr>
        <w:t>20</w:t>
      </w:r>
      <w:r w:rsidR="003D2EDE">
        <w:rPr>
          <w:rFonts w:ascii="Century Gothic" w:hAnsi="Century Gothic"/>
          <w:sz w:val="21"/>
          <w:szCs w:val="21"/>
        </w:rPr>
        <w:t>20</w:t>
      </w:r>
      <w:r w:rsidRPr="00360537">
        <w:rPr>
          <w:rFonts w:ascii="Century Gothic" w:hAnsi="Century Gothic"/>
          <w:sz w:val="21"/>
          <w:szCs w:val="21"/>
        </w:rPr>
        <w:t xml:space="preserve"> y </w:t>
      </w:r>
      <w:r w:rsidR="003540AD">
        <w:rPr>
          <w:rFonts w:ascii="Century Gothic" w:hAnsi="Century Gothic"/>
          <w:sz w:val="21"/>
          <w:szCs w:val="21"/>
        </w:rPr>
        <w:t>202</w:t>
      </w:r>
      <w:r w:rsidR="003D2EDE">
        <w:rPr>
          <w:rFonts w:ascii="Century Gothic" w:hAnsi="Century Gothic"/>
          <w:sz w:val="21"/>
          <w:szCs w:val="21"/>
        </w:rPr>
        <w:t>1</w:t>
      </w:r>
      <w:r w:rsidRPr="00360537">
        <w:rPr>
          <w:rFonts w:ascii="Century Gothic" w:hAnsi="Century Gothic"/>
          <w:sz w:val="21"/>
          <w:szCs w:val="21"/>
        </w:rPr>
        <w:t xml:space="preserve"> los agregados económico y ambiental más importantes, a nivel nacional, el Impacto Ambiental</w:t>
      </w:r>
      <w:r w:rsidR="003D2EDE">
        <w:rPr>
          <w:rFonts w:ascii="Century Gothic" w:hAnsi="Century Gothic"/>
          <w:sz w:val="21"/>
          <w:szCs w:val="21"/>
        </w:rPr>
        <w:t xml:space="preserve"> (IA)</w:t>
      </w:r>
      <w:r w:rsidRPr="00360537">
        <w:rPr>
          <w:rFonts w:ascii="Century Gothic" w:hAnsi="Century Gothic"/>
          <w:sz w:val="21"/>
          <w:szCs w:val="21"/>
        </w:rPr>
        <w:t xml:space="preserve"> </w:t>
      </w:r>
      <w:r w:rsidR="003D2EDE">
        <w:rPr>
          <w:rFonts w:ascii="Century Gothic" w:hAnsi="Century Gothic"/>
          <w:sz w:val="21"/>
          <w:szCs w:val="21"/>
        </w:rPr>
        <w:t>aument</w:t>
      </w:r>
      <w:r w:rsidRPr="00360537">
        <w:rPr>
          <w:rFonts w:ascii="Century Gothic" w:hAnsi="Century Gothic"/>
          <w:sz w:val="21"/>
          <w:szCs w:val="21"/>
        </w:rPr>
        <w:t xml:space="preserve">ó un </w:t>
      </w:r>
      <w:r w:rsidR="003D2EDE">
        <w:rPr>
          <w:rFonts w:ascii="Century Gothic" w:hAnsi="Century Gothic"/>
          <w:sz w:val="21"/>
          <w:szCs w:val="21"/>
        </w:rPr>
        <w:t>20</w:t>
      </w:r>
      <w:r w:rsidR="004244DA">
        <w:rPr>
          <w:rFonts w:ascii="Century Gothic" w:hAnsi="Century Gothic"/>
          <w:sz w:val="21"/>
          <w:szCs w:val="21"/>
        </w:rPr>
        <w:t>,</w:t>
      </w:r>
      <w:r w:rsidR="003D2EDE">
        <w:rPr>
          <w:rFonts w:ascii="Century Gothic" w:hAnsi="Century Gothic"/>
          <w:sz w:val="21"/>
          <w:szCs w:val="21"/>
        </w:rPr>
        <w:t>58</w:t>
      </w:r>
      <w:r w:rsidRPr="00360537">
        <w:rPr>
          <w:rFonts w:ascii="Century Gothic" w:hAnsi="Century Gothic"/>
          <w:sz w:val="21"/>
          <w:szCs w:val="21"/>
        </w:rPr>
        <w:t>%</w:t>
      </w:r>
      <w:r w:rsidRPr="00360537">
        <w:rPr>
          <w:rStyle w:val="Refdenotaalpie"/>
          <w:rFonts w:ascii="Century Gothic" w:hAnsi="Century Gothic"/>
          <w:sz w:val="21"/>
          <w:szCs w:val="21"/>
        </w:rPr>
        <w:footnoteReference w:id="16"/>
      </w:r>
      <w:r w:rsidRPr="00360537">
        <w:rPr>
          <w:rFonts w:ascii="Century Gothic" w:hAnsi="Century Gothic"/>
          <w:sz w:val="21"/>
          <w:szCs w:val="21"/>
        </w:rPr>
        <w:t>, mientras que el Valor Agregado Bruto</w:t>
      </w:r>
      <w:r w:rsidR="003D2EDE">
        <w:rPr>
          <w:rFonts w:ascii="Century Gothic" w:hAnsi="Century Gothic"/>
          <w:sz w:val="21"/>
          <w:szCs w:val="21"/>
        </w:rPr>
        <w:t xml:space="preserve"> (VAB)</w:t>
      </w:r>
      <w:r w:rsidRPr="00360537">
        <w:rPr>
          <w:rFonts w:ascii="Century Gothic" w:hAnsi="Century Gothic"/>
          <w:sz w:val="21"/>
          <w:szCs w:val="21"/>
        </w:rPr>
        <w:t xml:space="preserve"> </w:t>
      </w:r>
      <w:r w:rsidR="003D2EDE">
        <w:rPr>
          <w:rFonts w:ascii="Century Gothic" w:hAnsi="Century Gothic"/>
          <w:sz w:val="21"/>
          <w:szCs w:val="21"/>
        </w:rPr>
        <w:t>subi</w:t>
      </w:r>
      <w:r w:rsidRPr="00360537">
        <w:rPr>
          <w:rFonts w:ascii="Century Gothic" w:hAnsi="Century Gothic"/>
          <w:sz w:val="21"/>
          <w:szCs w:val="21"/>
        </w:rPr>
        <w:t xml:space="preserve">ó un </w:t>
      </w:r>
      <w:r w:rsidR="008F0EB8">
        <w:rPr>
          <w:rFonts w:ascii="Century Gothic" w:hAnsi="Century Gothic"/>
          <w:sz w:val="21"/>
          <w:szCs w:val="21"/>
        </w:rPr>
        <w:t>1</w:t>
      </w:r>
      <w:r w:rsidR="00885DFA">
        <w:rPr>
          <w:rFonts w:ascii="Century Gothic" w:hAnsi="Century Gothic"/>
          <w:sz w:val="21"/>
          <w:szCs w:val="21"/>
        </w:rPr>
        <w:t>7</w:t>
      </w:r>
      <w:r w:rsidR="004244DA">
        <w:rPr>
          <w:rFonts w:ascii="Century Gothic" w:hAnsi="Century Gothic"/>
          <w:sz w:val="21"/>
          <w:szCs w:val="21"/>
        </w:rPr>
        <w:t>,</w:t>
      </w:r>
      <w:r w:rsidR="003D2EDE">
        <w:rPr>
          <w:rFonts w:ascii="Century Gothic" w:hAnsi="Century Gothic"/>
          <w:sz w:val="21"/>
          <w:szCs w:val="21"/>
        </w:rPr>
        <w:t>29</w:t>
      </w:r>
      <w:r w:rsidRPr="00360537">
        <w:rPr>
          <w:rFonts w:ascii="Century Gothic" w:hAnsi="Century Gothic"/>
          <w:sz w:val="21"/>
          <w:szCs w:val="21"/>
        </w:rPr>
        <w:t>%.</w:t>
      </w:r>
      <w:r w:rsidR="008F0EB8">
        <w:rPr>
          <w:rFonts w:ascii="Century Gothic" w:hAnsi="Century Gothic"/>
          <w:sz w:val="21"/>
          <w:szCs w:val="21"/>
        </w:rPr>
        <w:t xml:space="preserve"> Esto significa que por cada punto porcentual que </w:t>
      </w:r>
      <w:r w:rsidR="003D2EDE">
        <w:rPr>
          <w:rFonts w:ascii="Century Gothic" w:hAnsi="Century Gothic"/>
          <w:sz w:val="21"/>
          <w:szCs w:val="21"/>
        </w:rPr>
        <w:t>aument</w:t>
      </w:r>
      <w:r w:rsidR="008F0EB8">
        <w:rPr>
          <w:rFonts w:ascii="Century Gothic" w:hAnsi="Century Gothic"/>
          <w:sz w:val="21"/>
          <w:szCs w:val="21"/>
        </w:rPr>
        <w:t>ó el VAB de las empresas en el año 202</w:t>
      </w:r>
      <w:r w:rsidR="003D2EDE">
        <w:rPr>
          <w:rFonts w:ascii="Century Gothic" w:hAnsi="Century Gothic"/>
          <w:sz w:val="21"/>
          <w:szCs w:val="21"/>
        </w:rPr>
        <w:t>1</w:t>
      </w:r>
      <w:r w:rsidR="008F0EB8">
        <w:rPr>
          <w:rFonts w:ascii="Century Gothic" w:hAnsi="Century Gothic"/>
          <w:sz w:val="21"/>
          <w:szCs w:val="21"/>
        </w:rPr>
        <w:t xml:space="preserve">, </w:t>
      </w:r>
      <w:r w:rsidR="003D2EDE">
        <w:rPr>
          <w:rFonts w:ascii="Century Gothic" w:hAnsi="Century Gothic"/>
          <w:sz w:val="21"/>
          <w:szCs w:val="21"/>
        </w:rPr>
        <w:t>aumentaron</w:t>
      </w:r>
      <w:r w:rsidR="008F0EB8">
        <w:rPr>
          <w:rFonts w:ascii="Century Gothic" w:hAnsi="Century Gothic"/>
          <w:sz w:val="21"/>
          <w:szCs w:val="21"/>
        </w:rPr>
        <w:t xml:space="preserve"> </w:t>
      </w:r>
      <w:r w:rsidR="003D2EDE">
        <w:rPr>
          <w:rFonts w:ascii="Century Gothic" w:hAnsi="Century Gothic"/>
          <w:sz w:val="21"/>
          <w:szCs w:val="21"/>
        </w:rPr>
        <w:t>1</w:t>
      </w:r>
      <w:r w:rsidR="004244DA">
        <w:rPr>
          <w:rFonts w:ascii="Century Gothic" w:hAnsi="Century Gothic"/>
          <w:sz w:val="21"/>
          <w:szCs w:val="21"/>
        </w:rPr>
        <w:t>.</w:t>
      </w:r>
      <w:r w:rsidR="003D2EDE">
        <w:rPr>
          <w:rFonts w:ascii="Century Gothic" w:hAnsi="Century Gothic"/>
          <w:sz w:val="21"/>
          <w:szCs w:val="21"/>
        </w:rPr>
        <w:t>19</w:t>
      </w:r>
      <w:r w:rsidR="008F0EB8">
        <w:rPr>
          <w:rFonts w:ascii="Century Gothic" w:hAnsi="Century Gothic"/>
          <w:sz w:val="21"/>
          <w:szCs w:val="21"/>
        </w:rPr>
        <w:t xml:space="preserve"> puntos porcentuales del impacto ambiental.</w:t>
      </w:r>
      <w:r w:rsidR="003D2EDE">
        <w:rPr>
          <w:rFonts w:ascii="Century Gothic" w:hAnsi="Century Gothic"/>
          <w:sz w:val="21"/>
          <w:szCs w:val="21"/>
        </w:rPr>
        <w:t xml:space="preserve"> Lo ideal sería que</w:t>
      </w:r>
      <w:r w:rsidR="00172F03">
        <w:rPr>
          <w:rFonts w:ascii="Century Gothic" w:hAnsi="Century Gothic"/>
          <w:sz w:val="21"/>
          <w:szCs w:val="21"/>
        </w:rPr>
        <w:t>,</w:t>
      </w:r>
      <w:r w:rsidR="003D2EDE">
        <w:rPr>
          <w:rFonts w:ascii="Century Gothic" w:hAnsi="Century Gothic"/>
          <w:sz w:val="21"/>
          <w:szCs w:val="21"/>
        </w:rPr>
        <w:t xml:space="preserve"> al aumentar el VAB empresarial en el tiempo, se mantuviera o disminuyera el IA.</w:t>
      </w:r>
    </w:p>
    <w:p w14:paraId="02B67E67" w14:textId="77777777" w:rsidR="00172F03" w:rsidRDefault="00172F03" w:rsidP="00646F55">
      <w:pPr>
        <w:jc w:val="both"/>
        <w:rPr>
          <w:rFonts w:ascii="Century Gothic" w:hAnsi="Century Gothic"/>
          <w:sz w:val="21"/>
          <w:szCs w:val="21"/>
        </w:rPr>
      </w:pPr>
    </w:p>
    <w:p w14:paraId="1358CC6F" w14:textId="7605B497" w:rsidR="008F0EB8" w:rsidRDefault="00172F03" w:rsidP="00646F55">
      <w:pPr>
        <w:jc w:val="both"/>
        <w:rPr>
          <w:rFonts w:ascii="Century Gothic" w:hAnsi="Century Gothic"/>
          <w:sz w:val="21"/>
          <w:szCs w:val="21"/>
        </w:rPr>
      </w:pPr>
      <w:r>
        <w:rPr>
          <w:rFonts w:ascii="Century Gothic" w:hAnsi="Century Gothic"/>
          <w:sz w:val="21"/>
          <w:szCs w:val="21"/>
        </w:rPr>
        <w:t>El hecho de que aumente el IA más rápidamente que el VAB demuestra que la economía empresarial nacional sigue</w:t>
      </w:r>
      <w:r w:rsidR="00E171B6">
        <w:rPr>
          <w:rFonts w:ascii="Century Gothic" w:hAnsi="Century Gothic"/>
          <w:sz w:val="21"/>
          <w:szCs w:val="21"/>
        </w:rPr>
        <w:t xml:space="preserve"> altamente</w:t>
      </w:r>
      <w:r>
        <w:rPr>
          <w:rFonts w:ascii="Century Gothic" w:hAnsi="Century Gothic"/>
          <w:sz w:val="21"/>
          <w:szCs w:val="21"/>
        </w:rPr>
        <w:t xml:space="preserve"> acoplada materialmente a los recursos básicos </w:t>
      </w:r>
      <w:r w:rsidR="00E171B6">
        <w:rPr>
          <w:rFonts w:ascii="Century Gothic" w:hAnsi="Century Gothic"/>
          <w:sz w:val="21"/>
          <w:szCs w:val="21"/>
        </w:rPr>
        <w:t>naturales</w:t>
      </w:r>
      <w:r>
        <w:rPr>
          <w:rFonts w:ascii="Century Gothic" w:hAnsi="Century Gothic"/>
          <w:sz w:val="21"/>
          <w:szCs w:val="21"/>
        </w:rPr>
        <w:t xml:space="preserve"> y energéticos los cuales, por esta razón, tienen que ir aumentando y generando gastos no contemplados para el Estado en forma de subsidios energéticos para el sector productivo nacional.</w:t>
      </w:r>
      <w:r w:rsidR="003D2EDE">
        <w:rPr>
          <w:rFonts w:ascii="Century Gothic" w:hAnsi="Century Gothic"/>
          <w:sz w:val="21"/>
          <w:szCs w:val="21"/>
        </w:rPr>
        <w:t xml:space="preserve"> </w:t>
      </w:r>
    </w:p>
    <w:p w14:paraId="448EA295" w14:textId="6BC7507D" w:rsidR="008F0EB8" w:rsidRDefault="008F0EB8" w:rsidP="00646F55">
      <w:pPr>
        <w:jc w:val="both"/>
        <w:rPr>
          <w:rFonts w:ascii="Century Gothic" w:hAnsi="Century Gothic"/>
          <w:sz w:val="21"/>
          <w:szCs w:val="21"/>
        </w:rPr>
      </w:pPr>
    </w:p>
    <w:p w14:paraId="5867C4A5" w14:textId="138441FF" w:rsidR="003B5B47" w:rsidRDefault="003B5B47" w:rsidP="00646F55">
      <w:pPr>
        <w:jc w:val="both"/>
        <w:rPr>
          <w:rFonts w:ascii="Century Gothic" w:hAnsi="Century Gothic"/>
          <w:sz w:val="21"/>
          <w:szCs w:val="21"/>
        </w:rPr>
      </w:pPr>
      <w:r>
        <w:rPr>
          <w:rFonts w:ascii="Century Gothic" w:hAnsi="Century Gothic"/>
          <w:sz w:val="21"/>
          <w:szCs w:val="21"/>
        </w:rPr>
        <w:t>Una innovación de cálculo se ha presentado para la presente edición del Módulo de Información Ambiental Económica de la ENESEM. Se trata del nuevo Impacto Ambiental (IA), el cual consiste en una escala cuali-cuantitativa (del 1 al 100), que define un escalafón de las empresas, según su grado de impacto negativo en el ambiente. Como se mencionó en este informe, la forma de construcción del nuevo IA permite “rastrear” a las empresas desde su valor de IA hasta los intervalos de variación de las variables de escala -gastos, costos, personal, cantidad de agua, cantidad de energía, cantidades de desechos- que conforman el agregado de IA.</w:t>
      </w:r>
    </w:p>
    <w:p w14:paraId="53E481A5" w14:textId="004E6D05" w:rsidR="003B5B47" w:rsidRDefault="003B5B47" w:rsidP="00646F55">
      <w:pPr>
        <w:jc w:val="both"/>
        <w:rPr>
          <w:rFonts w:ascii="Century Gothic" w:hAnsi="Century Gothic"/>
          <w:sz w:val="21"/>
          <w:szCs w:val="21"/>
        </w:rPr>
      </w:pPr>
    </w:p>
    <w:p w14:paraId="5BB908D8" w14:textId="6AE7B681" w:rsidR="003B5B47" w:rsidRDefault="003B5B47" w:rsidP="00646F55">
      <w:pPr>
        <w:jc w:val="both"/>
        <w:rPr>
          <w:rFonts w:ascii="Century Gothic" w:hAnsi="Century Gothic"/>
          <w:sz w:val="21"/>
          <w:szCs w:val="21"/>
        </w:rPr>
      </w:pPr>
      <w:r>
        <w:rPr>
          <w:rFonts w:ascii="Century Gothic" w:hAnsi="Century Gothic"/>
          <w:sz w:val="21"/>
          <w:szCs w:val="21"/>
        </w:rPr>
        <w:t xml:space="preserve">Se alienta al lector informado para que haga uso de la base de datos del Módulo de Información Ambiental Económica de la ENESEM, sobre todo </w:t>
      </w:r>
      <w:r>
        <w:rPr>
          <w:rFonts w:ascii="Century Gothic" w:hAnsi="Century Gothic"/>
          <w:sz w:val="21"/>
          <w:szCs w:val="21"/>
        </w:rPr>
        <w:t xml:space="preserve">para establecer relaciones y/o asociaciones entre las diferentes variables del Módulo con el agregado de IA definido. Como efecto, se obtendrán contenidos variados y conclusiones enriquecedoras. </w:t>
      </w:r>
    </w:p>
    <w:p w14:paraId="4C3A9C0D" w14:textId="77777777" w:rsidR="003B5B47" w:rsidRDefault="003B5B47" w:rsidP="00646F55">
      <w:pPr>
        <w:jc w:val="both"/>
        <w:rPr>
          <w:rFonts w:ascii="Century Gothic" w:hAnsi="Century Gothic"/>
          <w:sz w:val="21"/>
          <w:szCs w:val="21"/>
        </w:rPr>
      </w:pPr>
    </w:p>
    <w:p w14:paraId="2111489F" w14:textId="77777777" w:rsidR="00AC7CC6" w:rsidRDefault="00646F55" w:rsidP="00646F55">
      <w:pPr>
        <w:jc w:val="both"/>
        <w:rPr>
          <w:rFonts w:ascii="Century Gothic" w:hAnsi="Century Gothic"/>
          <w:sz w:val="21"/>
          <w:szCs w:val="21"/>
        </w:rPr>
      </w:pPr>
      <w:r w:rsidRPr="00360537">
        <w:rPr>
          <w:rFonts w:ascii="Century Gothic" w:hAnsi="Century Gothic"/>
          <w:sz w:val="21"/>
          <w:szCs w:val="21"/>
        </w:rPr>
        <w:t xml:space="preserve">Por </w:t>
      </w:r>
      <w:r w:rsidR="00511B42">
        <w:rPr>
          <w:rFonts w:ascii="Century Gothic" w:hAnsi="Century Gothic"/>
          <w:sz w:val="21"/>
          <w:szCs w:val="21"/>
        </w:rPr>
        <w:t>l</w:t>
      </w:r>
      <w:r w:rsidRPr="00360537">
        <w:rPr>
          <w:rFonts w:ascii="Century Gothic" w:hAnsi="Century Gothic"/>
          <w:sz w:val="21"/>
          <w:szCs w:val="21"/>
        </w:rPr>
        <w:t>as razones</w:t>
      </w:r>
      <w:r w:rsidR="00511B42">
        <w:rPr>
          <w:rFonts w:ascii="Century Gothic" w:hAnsi="Century Gothic"/>
          <w:sz w:val="21"/>
          <w:szCs w:val="21"/>
        </w:rPr>
        <w:t xml:space="preserve"> mencionadas</w:t>
      </w:r>
      <w:r w:rsidRPr="00360537">
        <w:rPr>
          <w:rFonts w:ascii="Century Gothic" w:hAnsi="Century Gothic"/>
          <w:sz w:val="21"/>
          <w:szCs w:val="21"/>
        </w:rPr>
        <w:t xml:space="preserve">, </w:t>
      </w:r>
      <w:r w:rsidR="00511B42">
        <w:rPr>
          <w:rFonts w:ascii="Century Gothic" w:hAnsi="Century Gothic"/>
          <w:sz w:val="21"/>
          <w:szCs w:val="21"/>
        </w:rPr>
        <w:t xml:space="preserve">los diferentes resultados obtenidos para las variables y agregados del Módulo Ambiental </w:t>
      </w:r>
      <w:r w:rsidR="004244DA">
        <w:rPr>
          <w:rFonts w:ascii="Century Gothic" w:hAnsi="Century Gothic"/>
          <w:sz w:val="21"/>
          <w:szCs w:val="21"/>
        </w:rPr>
        <w:t xml:space="preserve">Económica </w:t>
      </w:r>
      <w:r w:rsidR="00511B42">
        <w:rPr>
          <w:rFonts w:ascii="Century Gothic" w:hAnsi="Century Gothic"/>
          <w:sz w:val="21"/>
          <w:szCs w:val="21"/>
        </w:rPr>
        <w:t>de la Encuesta Estructural Empresarial (ENESEM), año 202</w:t>
      </w:r>
      <w:r w:rsidR="003B5B47">
        <w:rPr>
          <w:rFonts w:ascii="Century Gothic" w:hAnsi="Century Gothic"/>
          <w:sz w:val="21"/>
          <w:szCs w:val="21"/>
        </w:rPr>
        <w:t>1,</w:t>
      </w:r>
      <w:r w:rsidR="00511B42" w:rsidRPr="003B5B47">
        <w:rPr>
          <w:rFonts w:ascii="Century Gothic" w:hAnsi="Century Gothic"/>
          <w:sz w:val="14"/>
          <w:szCs w:val="14"/>
        </w:rPr>
        <w:t xml:space="preserve"> </w:t>
      </w:r>
      <w:r w:rsidR="00511B42">
        <w:rPr>
          <w:rFonts w:ascii="Century Gothic" w:hAnsi="Century Gothic"/>
          <w:sz w:val="21"/>
          <w:szCs w:val="21"/>
        </w:rPr>
        <w:t>son</w:t>
      </w:r>
      <w:r w:rsidR="00511B42" w:rsidRPr="003B5B47">
        <w:rPr>
          <w:rFonts w:ascii="Century Gothic" w:hAnsi="Century Gothic"/>
          <w:sz w:val="14"/>
          <w:szCs w:val="14"/>
        </w:rPr>
        <w:t xml:space="preserve"> </w:t>
      </w:r>
      <w:r w:rsidR="00511B42">
        <w:rPr>
          <w:rFonts w:ascii="Century Gothic" w:hAnsi="Century Gothic"/>
          <w:sz w:val="21"/>
          <w:szCs w:val="21"/>
        </w:rPr>
        <w:t>únicos</w:t>
      </w:r>
      <w:r w:rsidR="006D691F" w:rsidRPr="003B5B47">
        <w:rPr>
          <w:rFonts w:ascii="Century Gothic" w:hAnsi="Century Gothic"/>
          <w:sz w:val="14"/>
          <w:szCs w:val="14"/>
        </w:rPr>
        <w:t xml:space="preserve"> </w:t>
      </w:r>
      <w:r w:rsidR="006D691F">
        <w:rPr>
          <w:rFonts w:ascii="Century Gothic" w:hAnsi="Century Gothic"/>
          <w:sz w:val="21"/>
          <w:szCs w:val="21"/>
        </w:rPr>
        <w:t>y</w:t>
      </w:r>
      <w:r w:rsidR="006D691F" w:rsidRPr="003B5B47">
        <w:rPr>
          <w:rFonts w:ascii="Century Gothic" w:hAnsi="Century Gothic"/>
          <w:sz w:val="14"/>
          <w:szCs w:val="14"/>
        </w:rPr>
        <w:t xml:space="preserve"> </w:t>
      </w:r>
      <w:r w:rsidR="00511B42">
        <w:rPr>
          <w:rFonts w:ascii="Century Gothic" w:hAnsi="Century Gothic"/>
          <w:sz w:val="21"/>
          <w:szCs w:val="21"/>
        </w:rPr>
        <w:t>metodológicamente no comparables con los de los años 20</w:t>
      </w:r>
      <w:r w:rsidR="003B5B47">
        <w:rPr>
          <w:rFonts w:ascii="Century Gothic" w:hAnsi="Century Gothic"/>
          <w:sz w:val="21"/>
          <w:szCs w:val="21"/>
        </w:rPr>
        <w:t>20</w:t>
      </w:r>
      <w:r w:rsidR="00511B42">
        <w:rPr>
          <w:rFonts w:ascii="Century Gothic" w:hAnsi="Century Gothic"/>
          <w:sz w:val="21"/>
          <w:szCs w:val="21"/>
        </w:rPr>
        <w:t xml:space="preserve"> y anteriores.</w:t>
      </w:r>
    </w:p>
    <w:p w14:paraId="571286D1" w14:textId="77777777" w:rsidR="00AC7CC6" w:rsidRDefault="00AC7CC6" w:rsidP="00646F55">
      <w:pPr>
        <w:jc w:val="both"/>
        <w:rPr>
          <w:rFonts w:ascii="Century Gothic" w:hAnsi="Century Gothic"/>
          <w:sz w:val="21"/>
          <w:szCs w:val="21"/>
        </w:rPr>
      </w:pPr>
    </w:p>
    <w:p w14:paraId="444F3CDA" w14:textId="2AB5459A" w:rsidR="00646F55" w:rsidRPr="00AC7CC6" w:rsidRDefault="00511B42" w:rsidP="00646F55">
      <w:pPr>
        <w:jc w:val="both"/>
        <w:rPr>
          <w:rFonts w:ascii="Century Gothic" w:hAnsi="Century Gothic"/>
          <w:sz w:val="21"/>
          <w:szCs w:val="21"/>
        </w:rPr>
      </w:pPr>
      <w:r>
        <w:rPr>
          <w:rFonts w:ascii="Century Gothic" w:hAnsi="Century Gothic"/>
          <w:sz w:val="21"/>
          <w:szCs w:val="21"/>
        </w:rPr>
        <w:t>Habrá que esperar a ver los resultados del año 202</w:t>
      </w:r>
      <w:r w:rsidR="003B5B47">
        <w:rPr>
          <w:rFonts w:ascii="Century Gothic" w:hAnsi="Century Gothic"/>
          <w:sz w:val="21"/>
          <w:szCs w:val="21"/>
        </w:rPr>
        <w:t>2 -como segundo año de actividades normales después del paro laboral parcial debido a la pandemia del Covid-19 del año 2020-</w:t>
      </w:r>
      <w:r>
        <w:rPr>
          <w:rFonts w:ascii="Century Gothic" w:hAnsi="Century Gothic"/>
          <w:sz w:val="21"/>
          <w:szCs w:val="21"/>
        </w:rPr>
        <w:t xml:space="preserve"> para saber si se mantiene</w:t>
      </w:r>
      <w:r w:rsidR="00AC7CC6">
        <w:rPr>
          <w:rFonts w:ascii="Century Gothic" w:hAnsi="Century Gothic"/>
          <w:sz w:val="21"/>
          <w:szCs w:val="21"/>
        </w:rPr>
        <w:t xml:space="preserve"> la tendencia de</w:t>
      </w:r>
      <w:r>
        <w:rPr>
          <w:rFonts w:ascii="Century Gothic" w:hAnsi="Century Gothic"/>
          <w:sz w:val="21"/>
          <w:szCs w:val="21"/>
        </w:rPr>
        <w:t xml:space="preserve"> la economía </w:t>
      </w:r>
      <w:r w:rsidR="003B5B47">
        <w:rPr>
          <w:rFonts w:ascii="Century Gothic" w:hAnsi="Century Gothic"/>
          <w:sz w:val="21"/>
          <w:szCs w:val="21"/>
        </w:rPr>
        <w:t xml:space="preserve">de las empresas </w:t>
      </w:r>
      <w:r w:rsidR="00AC7CC6">
        <w:rPr>
          <w:rFonts w:ascii="Century Gothic" w:hAnsi="Century Gothic"/>
          <w:sz w:val="21"/>
          <w:szCs w:val="21"/>
        </w:rPr>
        <w:t xml:space="preserve">a </w:t>
      </w:r>
      <w:r w:rsidR="003B5B47">
        <w:rPr>
          <w:rFonts w:ascii="Century Gothic" w:hAnsi="Century Gothic"/>
          <w:sz w:val="21"/>
          <w:szCs w:val="21"/>
        </w:rPr>
        <w:t>incidir positivamente en la mitigación del Impacto Ambiental</w:t>
      </w:r>
      <w:r w:rsidR="00AC7CC6">
        <w:rPr>
          <w:rFonts w:ascii="Century Gothic" w:hAnsi="Century Gothic"/>
          <w:sz w:val="21"/>
          <w:szCs w:val="21"/>
        </w:rPr>
        <w:t>, de la manera en que se ha detectado que ha ocurrido en el año 2021 -en términos generales-, en base a todos los resultados presentados en el presente informe.</w:t>
      </w:r>
      <w:r w:rsidR="00646F55" w:rsidRPr="00646F55">
        <w:rPr>
          <w:rFonts w:ascii="Century Gothic" w:hAnsi="Century Gothic" w:cs="Calibri"/>
          <w:b/>
          <w:color w:val="2D4B88"/>
          <w:sz w:val="28"/>
        </w:rPr>
        <w:br w:type="page"/>
      </w:r>
    </w:p>
    <w:p w14:paraId="2EDE4173" w14:textId="77777777" w:rsidR="00646F55" w:rsidRPr="000D670F" w:rsidRDefault="00646F55" w:rsidP="00646F55">
      <w:pPr>
        <w:pStyle w:val="Ttulo1"/>
        <w:rPr>
          <w:rFonts w:ascii="Century Gothic" w:eastAsiaTheme="minorHAnsi" w:hAnsi="Century Gothic" w:cstheme="minorBidi"/>
          <w:color w:val="646482"/>
          <w:lang w:val="es-EC" w:eastAsia="en-US" w:bidi="ar-SA"/>
        </w:rPr>
      </w:pPr>
      <w:bookmarkStart w:id="31" w:name="_Toc132722352"/>
      <w:r w:rsidRPr="000D670F">
        <w:rPr>
          <w:rFonts w:ascii="Century Gothic" w:eastAsiaTheme="minorHAnsi" w:hAnsi="Century Gothic" w:cstheme="minorBidi"/>
          <w:color w:val="646482"/>
          <w:lang w:val="es-EC" w:eastAsia="en-US" w:bidi="ar-SA"/>
        </w:rPr>
        <w:lastRenderedPageBreak/>
        <w:t>Glosario</w:t>
      </w:r>
      <w:bookmarkEnd w:id="31"/>
    </w:p>
    <w:p w14:paraId="1F81B2D8" w14:textId="77777777" w:rsidR="00646F55" w:rsidRPr="00646F55" w:rsidRDefault="00646F55" w:rsidP="00646F55">
      <w:pPr>
        <w:rPr>
          <w:rFonts w:ascii="Century Gothic" w:hAnsi="Century Gothic" w:cs="Calibri"/>
          <w:b/>
          <w:color w:val="2D4B88"/>
          <w:sz w:val="28"/>
        </w:rPr>
      </w:pPr>
    </w:p>
    <w:p w14:paraId="4DB6C8AF" w14:textId="77777777" w:rsidR="00646F55" w:rsidRPr="00646F55" w:rsidRDefault="00646F55" w:rsidP="00646F55">
      <w:pPr>
        <w:autoSpaceDE w:val="0"/>
        <w:autoSpaceDN w:val="0"/>
        <w:adjustRightInd w:val="0"/>
        <w:jc w:val="both"/>
        <w:rPr>
          <w:rFonts w:ascii="Century Gothic" w:hAnsi="Century Gothic"/>
          <w:color w:val="000000"/>
          <w:sz w:val="20"/>
          <w:szCs w:val="20"/>
          <w:lang w:val="es-PR"/>
        </w:rPr>
      </w:pPr>
      <w:r w:rsidRPr="00646F55">
        <w:rPr>
          <w:rFonts w:ascii="Century Gothic" w:hAnsi="Century Gothic"/>
          <w:color w:val="000000"/>
          <w:sz w:val="20"/>
          <w:szCs w:val="20"/>
          <w:lang w:val="es-PR"/>
        </w:rPr>
        <w:t xml:space="preserve"> </w:t>
      </w:r>
      <w:r w:rsidRPr="00646F55">
        <w:rPr>
          <w:rFonts w:ascii="Century Gothic" w:hAnsi="Century Gothic"/>
          <w:b/>
          <w:bCs/>
          <w:color w:val="000000"/>
          <w:sz w:val="20"/>
          <w:szCs w:val="20"/>
          <w:lang w:val="es-PR"/>
        </w:rPr>
        <w:t xml:space="preserve">Certificación ISO 14001: </w:t>
      </w:r>
      <w:r w:rsidRPr="00646F55">
        <w:rPr>
          <w:rFonts w:ascii="Century Gothic" w:hAnsi="Century Gothic"/>
          <w:color w:val="000000"/>
          <w:sz w:val="20"/>
          <w:szCs w:val="20"/>
          <w:lang w:val="es-PR"/>
        </w:rPr>
        <w:t>Es una certificación internacional que obtiene cualquier organización que se somete a una auditoría en donde deben demostrar una buena gestión ambiental durante sus operaciones. La certificación ISO 14001 tiene el propósito de apoyar la aplicación de un plan de manejo ambiental en cualquier organización del sector público o privado.</w:t>
      </w:r>
    </w:p>
    <w:p w14:paraId="783DAE99" w14:textId="77777777" w:rsidR="00646F55" w:rsidRPr="00646F55" w:rsidRDefault="00646F55" w:rsidP="00646F55">
      <w:pPr>
        <w:autoSpaceDE w:val="0"/>
        <w:autoSpaceDN w:val="0"/>
        <w:adjustRightInd w:val="0"/>
        <w:jc w:val="both"/>
        <w:rPr>
          <w:rFonts w:ascii="Century Gothic" w:hAnsi="Century Gothic"/>
          <w:color w:val="000000"/>
          <w:sz w:val="20"/>
          <w:szCs w:val="20"/>
          <w:lang w:val="es-PR"/>
        </w:rPr>
      </w:pPr>
    </w:p>
    <w:p w14:paraId="7160194B" w14:textId="77777777" w:rsidR="00646F55" w:rsidRPr="00646F55" w:rsidRDefault="00646F55" w:rsidP="00646F55">
      <w:pPr>
        <w:autoSpaceDE w:val="0"/>
        <w:autoSpaceDN w:val="0"/>
        <w:adjustRightInd w:val="0"/>
        <w:jc w:val="both"/>
        <w:rPr>
          <w:rFonts w:ascii="Century Gothic" w:hAnsi="Century Gothic"/>
          <w:color w:val="000000"/>
          <w:sz w:val="20"/>
          <w:szCs w:val="20"/>
          <w:lang w:val="es-PR"/>
        </w:rPr>
      </w:pPr>
      <w:r w:rsidRPr="00646F55">
        <w:rPr>
          <w:rFonts w:ascii="Century Gothic" w:hAnsi="Century Gothic"/>
          <w:color w:val="000000"/>
          <w:sz w:val="20"/>
          <w:szCs w:val="20"/>
          <w:lang w:val="es-PR"/>
        </w:rPr>
        <w:t xml:space="preserve"> </w:t>
      </w:r>
      <w:r w:rsidRPr="00646F55">
        <w:rPr>
          <w:rFonts w:ascii="Century Gothic" w:hAnsi="Century Gothic"/>
          <w:b/>
          <w:bCs/>
          <w:color w:val="000000"/>
          <w:sz w:val="20"/>
          <w:szCs w:val="20"/>
          <w:lang w:val="es-PR"/>
        </w:rPr>
        <w:t xml:space="preserve">Certificado de registro ambiental (Licencia Categoría I): </w:t>
      </w:r>
      <w:r w:rsidRPr="00646F55">
        <w:rPr>
          <w:rFonts w:ascii="Century Gothic" w:hAnsi="Century Gothic"/>
          <w:color w:val="000000"/>
          <w:sz w:val="20"/>
          <w:szCs w:val="20"/>
          <w:lang w:val="es-PR"/>
        </w:rPr>
        <w:t>Es la autorización administrativa ambiental creada para actividades que generan impactos no significativos, que le permite a la autoridad ambiental nacional llevar un registro de estas actividades, y entregar a los promotores una guía de buenas prácticas ambientales que deberá ser observada durante todas las fases del ciclo de vida del proyecto económico. Este registro no constituye un instrumento de licenciamiento ambiental, por lo que el promotor está sujeto en todo momento al cumplimiento de la normativa ambiental vigente, y a las sanciones correspondientes en caso de incumplimiento.</w:t>
      </w:r>
    </w:p>
    <w:p w14:paraId="0EB739E0" w14:textId="77777777" w:rsidR="00646F55" w:rsidRPr="00646F55" w:rsidRDefault="00646F55" w:rsidP="00646F55">
      <w:pPr>
        <w:autoSpaceDE w:val="0"/>
        <w:autoSpaceDN w:val="0"/>
        <w:adjustRightInd w:val="0"/>
        <w:jc w:val="both"/>
        <w:rPr>
          <w:rFonts w:ascii="Century Gothic" w:hAnsi="Century Gothic"/>
          <w:color w:val="000000"/>
          <w:sz w:val="20"/>
          <w:szCs w:val="20"/>
          <w:lang w:val="es-PR"/>
        </w:rPr>
      </w:pPr>
    </w:p>
    <w:p w14:paraId="263401F2" w14:textId="77777777" w:rsidR="00646F55" w:rsidRPr="00646F55" w:rsidRDefault="00646F55" w:rsidP="00646F55">
      <w:pPr>
        <w:autoSpaceDE w:val="0"/>
        <w:autoSpaceDN w:val="0"/>
        <w:adjustRightInd w:val="0"/>
        <w:jc w:val="both"/>
        <w:rPr>
          <w:rFonts w:ascii="Century Gothic" w:hAnsi="Century Gothic"/>
          <w:color w:val="000000"/>
          <w:sz w:val="20"/>
          <w:szCs w:val="20"/>
          <w:lang w:val="es-PR"/>
        </w:rPr>
      </w:pPr>
      <w:r w:rsidRPr="00646F55">
        <w:rPr>
          <w:rFonts w:ascii="Century Gothic" w:hAnsi="Century Gothic"/>
          <w:color w:val="000000"/>
          <w:sz w:val="20"/>
          <w:szCs w:val="20"/>
          <w:lang w:val="es-PR"/>
        </w:rPr>
        <w:t xml:space="preserve"> </w:t>
      </w:r>
      <w:r w:rsidRPr="00646F55">
        <w:rPr>
          <w:rFonts w:ascii="Century Gothic" w:hAnsi="Century Gothic"/>
          <w:b/>
          <w:bCs/>
          <w:color w:val="000000"/>
          <w:sz w:val="20"/>
          <w:szCs w:val="20"/>
          <w:lang w:val="es-PR"/>
        </w:rPr>
        <w:t xml:space="preserve">Declaración de impacto ambiental (Licencia Categoría III): </w:t>
      </w:r>
      <w:r w:rsidRPr="00646F55">
        <w:rPr>
          <w:rFonts w:ascii="Century Gothic" w:hAnsi="Century Gothic"/>
          <w:color w:val="000000"/>
          <w:sz w:val="20"/>
          <w:szCs w:val="20"/>
          <w:lang w:val="es-PR"/>
        </w:rPr>
        <w:t xml:space="preserve">Es el instrumento previsto para la regularización ambiental de los proyectos, obras o actividades de la categoría III, en el cual se expresan los resultados de una evaluación de impacto ambiental. Es un instrumento de análisis con características específicas que permite identificar los posibles impactos ambientales y las consecuencias que podrían ser ocasionadas por la ejecución del proyecto, obra o actividad. </w:t>
      </w:r>
    </w:p>
    <w:p w14:paraId="343B63E7" w14:textId="77777777" w:rsidR="00646F55" w:rsidRPr="00646F55" w:rsidRDefault="00646F55" w:rsidP="00646F55">
      <w:pPr>
        <w:autoSpaceDE w:val="0"/>
        <w:autoSpaceDN w:val="0"/>
        <w:adjustRightInd w:val="0"/>
        <w:jc w:val="both"/>
        <w:rPr>
          <w:rFonts w:ascii="Century Gothic" w:hAnsi="Century Gothic"/>
          <w:color w:val="000000"/>
          <w:sz w:val="20"/>
          <w:szCs w:val="20"/>
          <w:lang w:val="es-PR"/>
        </w:rPr>
      </w:pPr>
    </w:p>
    <w:p w14:paraId="6574573A" w14:textId="77777777" w:rsidR="00646F55" w:rsidRPr="00646F55" w:rsidRDefault="00646F55" w:rsidP="00646F55">
      <w:pPr>
        <w:autoSpaceDE w:val="0"/>
        <w:autoSpaceDN w:val="0"/>
        <w:adjustRightInd w:val="0"/>
        <w:jc w:val="both"/>
        <w:rPr>
          <w:rFonts w:ascii="Century Gothic" w:hAnsi="Century Gothic"/>
          <w:color w:val="000000"/>
          <w:sz w:val="20"/>
          <w:szCs w:val="20"/>
          <w:lang w:val="es-PR"/>
        </w:rPr>
      </w:pPr>
      <w:r w:rsidRPr="00646F55">
        <w:rPr>
          <w:rFonts w:ascii="Century Gothic" w:hAnsi="Century Gothic"/>
          <w:color w:val="000000"/>
          <w:sz w:val="20"/>
          <w:szCs w:val="20"/>
          <w:lang w:val="es-PR"/>
        </w:rPr>
        <w:t xml:space="preserve"> </w:t>
      </w:r>
      <w:r w:rsidRPr="00646F55">
        <w:rPr>
          <w:rFonts w:ascii="Century Gothic" w:hAnsi="Century Gothic"/>
          <w:b/>
          <w:bCs/>
          <w:color w:val="000000"/>
          <w:sz w:val="20"/>
          <w:szCs w:val="20"/>
          <w:lang w:val="es-PR"/>
        </w:rPr>
        <w:t xml:space="preserve">Desacoplamiento material: </w:t>
      </w:r>
      <w:r w:rsidRPr="00646F55">
        <w:rPr>
          <w:rFonts w:ascii="Century Gothic" w:hAnsi="Century Gothic"/>
          <w:color w:val="000000"/>
          <w:sz w:val="20"/>
          <w:szCs w:val="20"/>
          <w:lang w:val="es-PR"/>
        </w:rPr>
        <w:t xml:space="preserve">Fenómeno de las economías empresariales por el cual las empresas utilizan cada vez menos materias primas –en particular, de recursos naturales no renovables–, energía y otros recursos </w:t>
      </w:r>
      <w:r w:rsidRPr="00646F55">
        <w:rPr>
          <w:rFonts w:ascii="Century Gothic" w:hAnsi="Century Gothic"/>
          <w:color w:val="000000"/>
          <w:sz w:val="20"/>
          <w:szCs w:val="20"/>
          <w:lang w:val="es-PR"/>
        </w:rPr>
        <w:t>para producir la misma cantidad de valor agregado.</w:t>
      </w:r>
    </w:p>
    <w:p w14:paraId="3B4342C2" w14:textId="77777777" w:rsidR="00646F55" w:rsidRPr="00646F55" w:rsidRDefault="00646F55" w:rsidP="00646F55">
      <w:pPr>
        <w:autoSpaceDE w:val="0"/>
        <w:autoSpaceDN w:val="0"/>
        <w:adjustRightInd w:val="0"/>
        <w:jc w:val="both"/>
        <w:rPr>
          <w:rFonts w:ascii="Century Gothic" w:hAnsi="Century Gothic"/>
          <w:color w:val="000000"/>
          <w:sz w:val="20"/>
          <w:szCs w:val="20"/>
          <w:lang w:val="es-PR"/>
        </w:rPr>
      </w:pPr>
    </w:p>
    <w:p w14:paraId="1E64DB87" w14:textId="77777777" w:rsidR="00646F55" w:rsidRPr="00646F55" w:rsidRDefault="00646F55" w:rsidP="00646F55">
      <w:pPr>
        <w:autoSpaceDE w:val="0"/>
        <w:autoSpaceDN w:val="0"/>
        <w:adjustRightInd w:val="0"/>
        <w:jc w:val="both"/>
        <w:rPr>
          <w:rFonts w:ascii="Century Gothic" w:hAnsi="Century Gothic"/>
          <w:color w:val="000000"/>
          <w:sz w:val="20"/>
          <w:szCs w:val="20"/>
          <w:lang w:val="es-PR"/>
        </w:rPr>
      </w:pPr>
      <w:r w:rsidRPr="00646F55">
        <w:rPr>
          <w:rFonts w:ascii="Century Gothic" w:hAnsi="Century Gothic"/>
          <w:color w:val="000000"/>
          <w:sz w:val="20"/>
          <w:szCs w:val="20"/>
          <w:lang w:val="es-PR"/>
        </w:rPr>
        <w:t xml:space="preserve"> </w:t>
      </w:r>
      <w:r w:rsidRPr="00646F55">
        <w:rPr>
          <w:rFonts w:ascii="Century Gothic" w:hAnsi="Century Gothic"/>
          <w:b/>
          <w:bCs/>
          <w:color w:val="000000"/>
          <w:sz w:val="20"/>
          <w:szCs w:val="20"/>
          <w:lang w:val="es-PR"/>
        </w:rPr>
        <w:t xml:space="preserve">Ficha Ambiental (Licencia Categoría II): </w:t>
      </w:r>
      <w:r w:rsidRPr="00646F55">
        <w:rPr>
          <w:rFonts w:ascii="Century Gothic" w:hAnsi="Century Gothic"/>
          <w:color w:val="000000"/>
          <w:sz w:val="20"/>
          <w:szCs w:val="20"/>
          <w:lang w:val="es-PR"/>
        </w:rPr>
        <w:t>Permite describir de manera general el marco legal aplicable, las principales actividades de los proyectos, obras o actividades las cuales, según la categorización ambiental nacional, son consideradas de bajo impacto. Además, se describe su entorno en los aspectos físicos, bióticos y socioeconómicos y propone medidas a través de un plan de manejo ambiental para prevenir, mitigar y minimizar los posibles impactos ambientales.</w:t>
      </w:r>
    </w:p>
    <w:p w14:paraId="1E4695B9" w14:textId="77777777" w:rsidR="00646F55" w:rsidRPr="00646F55" w:rsidRDefault="00646F55" w:rsidP="00646F55">
      <w:pPr>
        <w:autoSpaceDE w:val="0"/>
        <w:autoSpaceDN w:val="0"/>
        <w:adjustRightInd w:val="0"/>
        <w:jc w:val="both"/>
        <w:rPr>
          <w:rFonts w:ascii="Century Gothic" w:hAnsi="Century Gothic"/>
          <w:color w:val="000000"/>
          <w:sz w:val="20"/>
          <w:szCs w:val="20"/>
          <w:lang w:val="es-PR"/>
        </w:rPr>
      </w:pPr>
    </w:p>
    <w:p w14:paraId="14EA9F38" w14:textId="77777777" w:rsidR="00646F55" w:rsidRPr="00646F55" w:rsidRDefault="00646F55" w:rsidP="00646F55">
      <w:pPr>
        <w:autoSpaceDE w:val="0"/>
        <w:autoSpaceDN w:val="0"/>
        <w:adjustRightInd w:val="0"/>
        <w:spacing w:after="357"/>
        <w:jc w:val="both"/>
        <w:rPr>
          <w:rFonts w:ascii="Century Gothic" w:hAnsi="Century Gothic"/>
          <w:color w:val="000000"/>
          <w:sz w:val="20"/>
          <w:szCs w:val="20"/>
          <w:lang w:val="es-PR"/>
        </w:rPr>
      </w:pPr>
      <w:r w:rsidRPr="00646F55">
        <w:rPr>
          <w:rFonts w:ascii="Century Gothic" w:hAnsi="Century Gothic"/>
          <w:color w:val="000000"/>
          <w:sz w:val="20"/>
          <w:szCs w:val="20"/>
          <w:lang w:val="es-PR"/>
        </w:rPr>
        <w:t xml:space="preserve"> </w:t>
      </w:r>
      <w:r w:rsidRPr="00646F55">
        <w:rPr>
          <w:rFonts w:ascii="Century Gothic" w:hAnsi="Century Gothic"/>
          <w:b/>
          <w:bCs/>
          <w:color w:val="000000"/>
          <w:sz w:val="20"/>
          <w:szCs w:val="20"/>
          <w:lang w:val="es-PR"/>
        </w:rPr>
        <w:t xml:space="preserve">Gastos ambientales: </w:t>
      </w:r>
      <w:r w:rsidRPr="00646F55">
        <w:rPr>
          <w:rFonts w:ascii="Century Gothic" w:hAnsi="Century Gothic"/>
          <w:color w:val="000000"/>
          <w:sz w:val="20"/>
          <w:szCs w:val="20"/>
          <w:lang w:val="es-PR"/>
        </w:rPr>
        <w:t>La División de Estadísticas de las Naciones Unidas define el gasto en protección ambiental como aquellos gastos que “pueden abarcar la gama de la Clasificación de las Actividades de Protección del Medio Ambiente, que comprenden la protección del ambiente, aire y el clima, la ordenación de desechos y de las aguas residuales, la protección de los suelos y las aguas subterráneas, la atenuación del ruido y las vibraciones, la protección de la diversidad biológica y el paisaje, la protección contra las radiaciones; gastos en actividades de medición, regulación, laboratorios y gastos similares”. Esta definición se complementa con las recomendaciones que ofrece el Sistema de Contabilidad Ambiental Económico (SCAE 2012 - ONU) el cual indica que el gasto efectuado debe cumplir con el criterio de finalidad (</w:t>
      </w:r>
      <w:r w:rsidRPr="00646F55">
        <w:rPr>
          <w:rFonts w:ascii="Century Gothic" w:hAnsi="Century Gothic"/>
          <w:i/>
          <w:color w:val="000000"/>
          <w:sz w:val="20"/>
          <w:szCs w:val="20"/>
          <w:lang w:val="es-PR"/>
        </w:rPr>
        <w:t>causa</w:t>
      </w:r>
      <w:r w:rsidRPr="00646F55">
        <w:rPr>
          <w:rFonts w:ascii="Century Gothic" w:hAnsi="Century Gothic"/>
          <w:color w:val="000000"/>
          <w:sz w:val="20"/>
          <w:szCs w:val="20"/>
          <w:lang w:val="es-PR"/>
        </w:rPr>
        <w:t xml:space="preserve"> </w:t>
      </w:r>
      <w:r w:rsidRPr="00646F55">
        <w:rPr>
          <w:rFonts w:ascii="Century Gothic" w:hAnsi="Century Gothic"/>
          <w:i/>
          <w:color w:val="000000"/>
          <w:sz w:val="20"/>
          <w:szCs w:val="20"/>
          <w:lang w:val="es-PR"/>
        </w:rPr>
        <w:t>finalis</w:t>
      </w:r>
      <w:r w:rsidRPr="00646F55">
        <w:rPr>
          <w:rFonts w:ascii="Century Gothic" w:hAnsi="Century Gothic"/>
          <w:color w:val="000000"/>
          <w:sz w:val="20"/>
          <w:szCs w:val="20"/>
          <w:lang w:val="es-PR"/>
        </w:rPr>
        <w:t>), es decir, que tenga como “propósito primario la prevención, reducción y eliminación de la contaminación, así como otras formas de degradación del medio ambiente”.</w:t>
      </w:r>
    </w:p>
    <w:p w14:paraId="07EAE5FD" w14:textId="77777777" w:rsidR="00646F55" w:rsidRPr="00646F55" w:rsidRDefault="00646F55" w:rsidP="00646F55">
      <w:pPr>
        <w:autoSpaceDE w:val="0"/>
        <w:autoSpaceDN w:val="0"/>
        <w:adjustRightInd w:val="0"/>
        <w:jc w:val="both"/>
        <w:rPr>
          <w:rFonts w:ascii="Century Gothic" w:hAnsi="Century Gothic"/>
          <w:color w:val="000000"/>
          <w:sz w:val="20"/>
          <w:szCs w:val="20"/>
          <w:lang w:val="es-PR"/>
        </w:rPr>
      </w:pPr>
      <w:r w:rsidRPr="00646F55">
        <w:rPr>
          <w:rFonts w:ascii="Century Gothic" w:hAnsi="Century Gothic"/>
          <w:color w:val="000000"/>
          <w:sz w:val="20"/>
          <w:szCs w:val="20"/>
          <w:lang w:val="es-PR"/>
        </w:rPr>
        <w:t xml:space="preserve"> </w:t>
      </w:r>
      <w:r w:rsidRPr="00646F55">
        <w:rPr>
          <w:rFonts w:ascii="Century Gothic" w:hAnsi="Century Gothic"/>
          <w:b/>
          <w:bCs/>
          <w:color w:val="000000"/>
          <w:sz w:val="20"/>
          <w:szCs w:val="20"/>
          <w:lang w:val="es-PR"/>
        </w:rPr>
        <w:t xml:space="preserve">Licencia ambiental (Licencia Categoría IV): </w:t>
      </w:r>
      <w:r w:rsidRPr="00646F55">
        <w:rPr>
          <w:rFonts w:ascii="Century Gothic" w:hAnsi="Century Gothic"/>
          <w:color w:val="000000"/>
          <w:sz w:val="20"/>
          <w:szCs w:val="20"/>
          <w:lang w:val="es-PR"/>
        </w:rPr>
        <w:t xml:space="preserve">Es la autorización que otorga la autoridad competente a una persona natural o jurídica para la ejecución de un proyecto, obra o actividad. En ella se establecen los requisitos, obligaciones y condiciones que el beneficiario debe cumplir para prevenir, mitigar o corregir los efectos indeseables que el proyecto, obra o </w:t>
      </w:r>
      <w:r w:rsidRPr="00646F55">
        <w:rPr>
          <w:rFonts w:ascii="Century Gothic" w:hAnsi="Century Gothic"/>
          <w:color w:val="000000"/>
          <w:sz w:val="20"/>
          <w:szCs w:val="20"/>
          <w:lang w:val="es-PR"/>
        </w:rPr>
        <w:lastRenderedPageBreak/>
        <w:t xml:space="preserve">actividad autorizada pueda causar en el ambiente. </w:t>
      </w:r>
    </w:p>
    <w:p w14:paraId="5985C8B1" w14:textId="77777777" w:rsidR="00646F55" w:rsidRPr="00646F55" w:rsidRDefault="00646F55" w:rsidP="00646F55">
      <w:pPr>
        <w:autoSpaceDE w:val="0"/>
        <w:autoSpaceDN w:val="0"/>
        <w:adjustRightInd w:val="0"/>
        <w:jc w:val="both"/>
        <w:rPr>
          <w:rFonts w:ascii="Century Gothic" w:hAnsi="Century Gothic"/>
          <w:color w:val="000000"/>
          <w:sz w:val="20"/>
          <w:szCs w:val="20"/>
          <w:lang w:val="es-PR"/>
        </w:rPr>
      </w:pPr>
    </w:p>
    <w:p w14:paraId="7C710776" w14:textId="77777777" w:rsidR="00646F55" w:rsidRPr="00646F55" w:rsidRDefault="00646F55" w:rsidP="00646F55">
      <w:pPr>
        <w:autoSpaceDE w:val="0"/>
        <w:autoSpaceDN w:val="0"/>
        <w:adjustRightInd w:val="0"/>
        <w:spacing w:after="357"/>
        <w:jc w:val="both"/>
        <w:rPr>
          <w:rFonts w:ascii="Century Gothic" w:hAnsi="Century Gothic"/>
          <w:color w:val="000000"/>
          <w:sz w:val="20"/>
          <w:szCs w:val="20"/>
          <w:lang w:val="es-PR"/>
        </w:rPr>
      </w:pPr>
      <w:r w:rsidRPr="00646F55">
        <w:rPr>
          <w:rFonts w:ascii="Century Gothic" w:hAnsi="Century Gothic"/>
          <w:color w:val="000000"/>
          <w:sz w:val="20"/>
          <w:szCs w:val="20"/>
          <w:lang w:val="es-PR"/>
        </w:rPr>
        <w:t xml:space="preserve"> </w:t>
      </w:r>
      <w:r w:rsidRPr="00646F55">
        <w:rPr>
          <w:rFonts w:ascii="Century Gothic" w:hAnsi="Century Gothic"/>
          <w:b/>
          <w:bCs/>
          <w:color w:val="000000"/>
          <w:sz w:val="20"/>
          <w:szCs w:val="20"/>
          <w:lang w:val="es-PR"/>
        </w:rPr>
        <w:t xml:space="preserve">Prácticas Ambientales: </w:t>
      </w:r>
      <w:r w:rsidRPr="00646F55">
        <w:rPr>
          <w:rFonts w:ascii="Century Gothic" w:hAnsi="Century Gothic"/>
          <w:color w:val="000000"/>
          <w:sz w:val="20"/>
          <w:szCs w:val="20"/>
          <w:lang w:val="es-PR"/>
        </w:rPr>
        <w:t>Se definen como aquellas acciones que pretenden reducir el impacto ambiental negativo que causan los procesos productivos a través de cambios en la organización de los procesos y las actividades. La implantación de Buenas Prácticas ambientales debe ser asumida por la empresa, entendida en su globalidad, previamente a su aplicación.</w:t>
      </w:r>
    </w:p>
    <w:p w14:paraId="17383FEB" w14:textId="77777777" w:rsidR="00646F55" w:rsidRPr="00646F55" w:rsidRDefault="00646F55" w:rsidP="00646F55">
      <w:pPr>
        <w:autoSpaceDE w:val="0"/>
        <w:autoSpaceDN w:val="0"/>
        <w:adjustRightInd w:val="0"/>
        <w:spacing w:after="357"/>
        <w:jc w:val="both"/>
        <w:rPr>
          <w:rFonts w:ascii="Century Gothic" w:hAnsi="Century Gothic"/>
          <w:color w:val="000000"/>
          <w:sz w:val="20"/>
          <w:szCs w:val="20"/>
          <w:lang w:val="es-PR"/>
        </w:rPr>
      </w:pPr>
      <w:r w:rsidRPr="00646F55">
        <w:rPr>
          <w:rFonts w:ascii="Century Gothic" w:hAnsi="Century Gothic"/>
          <w:color w:val="000000"/>
          <w:sz w:val="20"/>
          <w:szCs w:val="20"/>
          <w:lang w:val="es-PR"/>
        </w:rPr>
        <w:t xml:space="preserve"> </w:t>
      </w:r>
      <w:r w:rsidRPr="00646F55">
        <w:rPr>
          <w:rFonts w:ascii="Century Gothic" w:hAnsi="Century Gothic"/>
          <w:b/>
          <w:color w:val="000000"/>
          <w:sz w:val="20"/>
          <w:szCs w:val="20"/>
          <w:lang w:val="es-PR"/>
        </w:rPr>
        <w:t>Residuos especiales</w:t>
      </w:r>
      <w:r w:rsidRPr="00646F55">
        <w:rPr>
          <w:rFonts w:ascii="Century Gothic" w:hAnsi="Century Gothic"/>
          <w:color w:val="000000"/>
          <w:sz w:val="20"/>
          <w:szCs w:val="20"/>
          <w:lang w:val="es-PR"/>
        </w:rPr>
        <w:t>: Son aquellos desechos que, sin ser peligrosos, por su naturaleza pueden impactar el entorno ambiental o la salud, debido al volumen de generación y/o difícil degradación. Para ellos, se debe implementar un sistema de recuperación, reutilización y/o reciclaje con el fin de reducir la cantidad de desechos generados, evitar su inadecuado manejo y disposición, así como la sobresaturación de los rellenos sanitarios municipales.</w:t>
      </w:r>
    </w:p>
    <w:p w14:paraId="63F8CC32" w14:textId="77777777" w:rsidR="00646F55" w:rsidRPr="00646F55" w:rsidRDefault="00646F55" w:rsidP="00646F55">
      <w:pPr>
        <w:autoSpaceDE w:val="0"/>
        <w:autoSpaceDN w:val="0"/>
        <w:adjustRightInd w:val="0"/>
        <w:spacing w:after="375"/>
        <w:jc w:val="both"/>
        <w:rPr>
          <w:rFonts w:ascii="Century Gothic" w:hAnsi="Century Gothic"/>
          <w:color w:val="000000"/>
          <w:sz w:val="20"/>
          <w:szCs w:val="20"/>
          <w:lang w:val="es-PR"/>
        </w:rPr>
      </w:pPr>
      <w:r w:rsidRPr="00646F55">
        <w:rPr>
          <w:rFonts w:ascii="Century Gothic" w:hAnsi="Century Gothic"/>
          <w:color w:val="000000"/>
          <w:sz w:val="20"/>
          <w:szCs w:val="20"/>
          <w:lang w:val="es-PR"/>
        </w:rPr>
        <w:t xml:space="preserve"> </w:t>
      </w:r>
      <w:r w:rsidRPr="00646F55">
        <w:rPr>
          <w:rFonts w:ascii="Century Gothic" w:hAnsi="Century Gothic"/>
          <w:b/>
          <w:color w:val="000000"/>
          <w:sz w:val="20"/>
          <w:szCs w:val="20"/>
          <w:lang w:val="es-PR"/>
        </w:rPr>
        <w:t>Residuos no peligrosos</w:t>
      </w:r>
      <w:r w:rsidRPr="00646F55">
        <w:rPr>
          <w:rFonts w:ascii="Century Gothic" w:hAnsi="Century Gothic"/>
          <w:color w:val="000000"/>
          <w:sz w:val="20"/>
          <w:szCs w:val="20"/>
          <w:lang w:val="es-PR"/>
        </w:rPr>
        <w:t xml:space="preserve">: Cualquier objeto, material, sustancia o elemento sólido, que no presenta características de peligrosidad actuales resultantes del consumo o uso de un bien tanto en actividades domésticas, industriales, comerciales, institucionales o de servicios, que no tiene valor para quien lo genera pero que es susceptible de aprovechamiento en un nuevo bien con un valor económico agregado. A pesar de no contener cantidades significativas de alguna sustancia con características corrosivas, reactivas, tóxicas, inflamables, biológico-infecciosas y/o radioactivas, representando así un riesgo para la salud humana y el ambiente, son sustancias que pueden transformarse con el tiempo, bien en vectores de enfermedades infecciosas, bien en fuentes de contaminación del aire, agua, suelo e incluso de contaminación visual y olfatoria. </w:t>
      </w:r>
    </w:p>
    <w:p w14:paraId="5ABE9259" w14:textId="77777777" w:rsidR="00646F55" w:rsidRPr="00646F55" w:rsidRDefault="00646F55" w:rsidP="00646F55">
      <w:pPr>
        <w:autoSpaceDE w:val="0"/>
        <w:autoSpaceDN w:val="0"/>
        <w:adjustRightInd w:val="0"/>
        <w:jc w:val="both"/>
        <w:rPr>
          <w:rFonts w:ascii="Century Gothic" w:hAnsi="Century Gothic"/>
          <w:color w:val="000000"/>
          <w:sz w:val="20"/>
          <w:szCs w:val="20"/>
          <w:lang w:val="es-PR"/>
        </w:rPr>
      </w:pPr>
      <w:r w:rsidRPr="00646F55">
        <w:rPr>
          <w:rFonts w:ascii="Century Gothic" w:hAnsi="Century Gothic"/>
          <w:color w:val="000000"/>
          <w:sz w:val="20"/>
          <w:szCs w:val="20"/>
          <w:lang w:val="es-PR"/>
        </w:rPr>
        <w:t xml:space="preserve"> </w:t>
      </w:r>
      <w:r w:rsidRPr="00646F55">
        <w:rPr>
          <w:rFonts w:ascii="Century Gothic" w:hAnsi="Century Gothic"/>
          <w:b/>
          <w:bCs/>
          <w:color w:val="000000"/>
          <w:sz w:val="20"/>
          <w:szCs w:val="20"/>
          <w:lang w:val="es-PR"/>
        </w:rPr>
        <w:t xml:space="preserve">Residuos peligrosos: </w:t>
      </w:r>
      <w:r w:rsidRPr="00646F55">
        <w:rPr>
          <w:rFonts w:ascii="Century Gothic" w:hAnsi="Century Gothic"/>
          <w:color w:val="000000"/>
          <w:sz w:val="20"/>
          <w:szCs w:val="20"/>
          <w:lang w:val="es-PR"/>
        </w:rPr>
        <w:t xml:space="preserve">Son los desechos sólidos, pastosos, líquidos o gaseosos resultantes de un proceso de </w:t>
      </w:r>
      <w:r w:rsidRPr="00646F55">
        <w:rPr>
          <w:rFonts w:ascii="Century Gothic" w:hAnsi="Century Gothic"/>
          <w:color w:val="000000"/>
          <w:sz w:val="20"/>
          <w:szCs w:val="20"/>
          <w:lang w:val="es-PR"/>
        </w:rPr>
        <w:t>producción, transformación, reciclaje, utilización o consumo y que contengan alguna sustancia que tenga características corrosivas, reactivas, tóxicas, inflamables, biológico-infecciosas y/o radioactivas, que representen un riesgo para la salud humana y el ambiente de acuerdo a las disposiciones legales aplicables.</w:t>
      </w:r>
    </w:p>
    <w:p w14:paraId="5C0147A8" w14:textId="77777777" w:rsidR="00646F55" w:rsidRPr="00646F55" w:rsidRDefault="00646F55" w:rsidP="00646F55">
      <w:pPr>
        <w:autoSpaceDE w:val="0"/>
        <w:autoSpaceDN w:val="0"/>
        <w:adjustRightInd w:val="0"/>
        <w:spacing w:after="357"/>
        <w:jc w:val="both"/>
        <w:rPr>
          <w:rFonts w:ascii="Century Gothic" w:hAnsi="Century Gothic"/>
          <w:color w:val="000000"/>
          <w:sz w:val="20"/>
          <w:szCs w:val="20"/>
          <w:lang w:val="es-PR"/>
        </w:rPr>
      </w:pPr>
    </w:p>
    <w:p w14:paraId="3826E461" w14:textId="77777777" w:rsidR="00646F55" w:rsidRPr="000D670F" w:rsidRDefault="00646F55" w:rsidP="00646F55">
      <w:pPr>
        <w:pStyle w:val="Ttulo1"/>
        <w:rPr>
          <w:rFonts w:ascii="Century Gothic" w:eastAsiaTheme="minorHAnsi" w:hAnsi="Century Gothic" w:cstheme="minorBidi"/>
          <w:color w:val="646482"/>
          <w:lang w:val="es-EC" w:eastAsia="en-US" w:bidi="ar-SA"/>
        </w:rPr>
      </w:pPr>
      <w:bookmarkStart w:id="32" w:name="_Toc132722353"/>
      <w:r w:rsidRPr="000D670F">
        <w:rPr>
          <w:rFonts w:ascii="Century Gothic" w:eastAsiaTheme="minorHAnsi" w:hAnsi="Century Gothic" w:cstheme="minorBidi"/>
          <w:color w:val="646482"/>
          <w:lang w:val="es-EC" w:eastAsia="en-US" w:bidi="ar-SA"/>
        </w:rPr>
        <w:t>Bibliografía y Referencias</w:t>
      </w:r>
      <w:bookmarkEnd w:id="32"/>
    </w:p>
    <w:p w14:paraId="471429BD" w14:textId="77777777" w:rsidR="00646F55" w:rsidRPr="00646F55" w:rsidRDefault="00646F55" w:rsidP="00646F55">
      <w:pPr>
        <w:jc w:val="both"/>
        <w:rPr>
          <w:rFonts w:ascii="Century Gothic" w:hAnsi="Century Gothic" w:cs="Times New Roman"/>
          <w:color w:val="595959" w:themeColor="text1" w:themeTint="A6"/>
          <w:sz w:val="16"/>
          <w:szCs w:val="20"/>
          <w:lang w:eastAsia="es-ES_tradnl"/>
        </w:rPr>
      </w:pPr>
    </w:p>
    <w:p w14:paraId="6B9222F5" w14:textId="77777777" w:rsidR="00646F55" w:rsidRPr="00646F55" w:rsidRDefault="00646F55" w:rsidP="00646F55">
      <w:pPr>
        <w:jc w:val="both"/>
        <w:rPr>
          <w:rFonts w:ascii="Century Gothic" w:hAnsi="Century Gothic" w:cs="Times New Roman"/>
          <w:color w:val="595959" w:themeColor="text1" w:themeTint="A6"/>
          <w:sz w:val="10"/>
          <w:szCs w:val="20"/>
          <w:lang w:val="es-ES_tradnl" w:eastAsia="es-ES_tradnl"/>
        </w:rPr>
      </w:pPr>
    </w:p>
    <w:p w14:paraId="122F620E" w14:textId="0C9BCBDF" w:rsidR="000A66AF" w:rsidRDefault="00646F55" w:rsidP="000A66AF">
      <w:pPr>
        <w:pStyle w:val="Bibliografa"/>
        <w:ind w:left="720" w:hanging="720"/>
        <w:rPr>
          <w:noProof/>
          <w:sz w:val="24"/>
          <w:szCs w:val="24"/>
        </w:rPr>
      </w:pPr>
      <w:r w:rsidRPr="00646F55">
        <w:rPr>
          <w:rFonts w:eastAsiaTheme="minorHAnsi" w:cs="Times New Roman"/>
          <w:color w:val="595959" w:themeColor="text1" w:themeTint="A6"/>
          <w:sz w:val="10"/>
          <w:szCs w:val="20"/>
          <w:lang w:val="es-ES_tradnl" w:eastAsia="es-ES_tradnl" w:bidi="ar-SA"/>
        </w:rPr>
        <w:fldChar w:fldCharType="begin"/>
      </w:r>
      <w:r w:rsidRPr="00646F55">
        <w:rPr>
          <w:rFonts w:eastAsiaTheme="minorHAnsi" w:cs="Times New Roman"/>
          <w:color w:val="595959" w:themeColor="text1" w:themeTint="A6"/>
          <w:sz w:val="10"/>
          <w:szCs w:val="20"/>
          <w:lang w:val="es-ES_tradnl" w:eastAsia="es-ES_tradnl" w:bidi="ar-SA"/>
        </w:rPr>
        <w:instrText xml:space="preserve"> BIBLIOGRAPHY  \l 12298 </w:instrText>
      </w:r>
      <w:r w:rsidRPr="00646F55">
        <w:rPr>
          <w:rFonts w:eastAsiaTheme="minorHAnsi" w:cs="Times New Roman"/>
          <w:color w:val="595959" w:themeColor="text1" w:themeTint="A6"/>
          <w:sz w:val="10"/>
          <w:szCs w:val="20"/>
          <w:lang w:val="es-ES_tradnl" w:eastAsia="es-ES_tradnl" w:bidi="ar-SA"/>
        </w:rPr>
        <w:fldChar w:fldCharType="separate"/>
      </w:r>
      <w:r w:rsidR="000A66AF">
        <w:rPr>
          <w:noProof/>
        </w:rPr>
        <w:t xml:space="preserve">Cervera-Ferri, J., &amp; Ureña, M. (2017). </w:t>
      </w:r>
      <w:r w:rsidR="000A66AF">
        <w:rPr>
          <w:i/>
          <w:iCs/>
          <w:noProof/>
        </w:rPr>
        <w:t>Indicadores de Producción Verde: Una guía para avanzar hacia el desarrollo sostenible.</w:t>
      </w:r>
      <w:r w:rsidR="000A66AF">
        <w:rPr>
          <w:noProof/>
        </w:rPr>
        <w:t xml:space="preserve"> Santiago: Naciones Unidas. Recuperado el 1</w:t>
      </w:r>
      <w:r w:rsidR="005A0921">
        <w:rPr>
          <w:noProof/>
        </w:rPr>
        <w:t>3</w:t>
      </w:r>
      <w:r w:rsidR="000A66AF">
        <w:rPr>
          <w:noProof/>
        </w:rPr>
        <w:t xml:space="preserve"> de a</w:t>
      </w:r>
      <w:r w:rsidR="005A0921">
        <w:rPr>
          <w:noProof/>
        </w:rPr>
        <w:t>bril</w:t>
      </w:r>
      <w:r w:rsidR="000A66AF">
        <w:rPr>
          <w:noProof/>
        </w:rPr>
        <w:t xml:space="preserve"> de 20</w:t>
      </w:r>
      <w:r w:rsidR="005A0921">
        <w:rPr>
          <w:noProof/>
        </w:rPr>
        <w:t>23</w:t>
      </w:r>
      <w:r w:rsidR="000A66AF">
        <w:rPr>
          <w:noProof/>
        </w:rPr>
        <w:t>, de https://repositorio.cepal.org/bitstream/handle/11362/40967/4/S1700065_es.pdf</w:t>
      </w:r>
    </w:p>
    <w:p w14:paraId="3ED173C0" w14:textId="719F3936" w:rsidR="000A66AF" w:rsidRDefault="000A66AF" w:rsidP="000A66AF">
      <w:pPr>
        <w:pStyle w:val="Bibliografa"/>
        <w:ind w:left="720" w:hanging="720"/>
        <w:rPr>
          <w:noProof/>
        </w:rPr>
      </w:pPr>
      <w:r>
        <w:rPr>
          <w:noProof/>
        </w:rPr>
        <w:t xml:space="preserve">DANE. (2015). </w:t>
      </w:r>
      <w:r>
        <w:rPr>
          <w:i/>
          <w:iCs/>
          <w:noProof/>
        </w:rPr>
        <w:t>Boletín Técnico (DANE), Cuenta Ambiental y Económica de Flujos de Materiales - Residuos Sólidos 2012 – 2014.</w:t>
      </w:r>
      <w:r>
        <w:rPr>
          <w:noProof/>
        </w:rPr>
        <w:t xml:space="preserve"> Bogotá. </w:t>
      </w:r>
      <w:r w:rsidR="005A0921">
        <w:rPr>
          <w:noProof/>
        </w:rPr>
        <w:t>Recupera</w:t>
      </w:r>
      <w:r>
        <w:rPr>
          <w:noProof/>
        </w:rPr>
        <w:t>do</w:t>
      </w:r>
      <w:r w:rsidR="005A0921">
        <w:rPr>
          <w:noProof/>
        </w:rPr>
        <w:t xml:space="preserve"> el 13 de abril de 2023,</w:t>
      </w:r>
      <w:r>
        <w:rPr>
          <w:noProof/>
        </w:rPr>
        <w:t xml:space="preserve"> de http://www.dane.gov.co/files/investigaciones/pib/ambientales/cuentas_ambientales/cuentas-residuos/BT-Cuenta-residuos-2014p.pdf</w:t>
      </w:r>
    </w:p>
    <w:p w14:paraId="04525D3A" w14:textId="390CD0F8" w:rsidR="000A66AF" w:rsidRDefault="000A66AF" w:rsidP="000A66AF">
      <w:pPr>
        <w:pStyle w:val="Bibliografa"/>
        <w:ind w:left="720" w:hanging="720"/>
        <w:rPr>
          <w:noProof/>
        </w:rPr>
      </w:pPr>
      <w:r>
        <w:rPr>
          <w:noProof/>
        </w:rPr>
        <w:t xml:space="preserve">DANE. (2018). </w:t>
      </w:r>
      <w:r>
        <w:rPr>
          <w:i/>
          <w:iCs/>
          <w:noProof/>
        </w:rPr>
        <w:t>Boletín Técnico: Cuenta ambiental y económica de flujos de agua (2017-2018p).</w:t>
      </w:r>
      <w:r>
        <w:rPr>
          <w:noProof/>
        </w:rPr>
        <w:t xml:space="preserve"> Bogotá. Recuperado el 1</w:t>
      </w:r>
      <w:r w:rsidR="005A0921">
        <w:rPr>
          <w:noProof/>
        </w:rPr>
        <w:t>3</w:t>
      </w:r>
      <w:r>
        <w:rPr>
          <w:noProof/>
        </w:rPr>
        <w:t xml:space="preserve"> de a</w:t>
      </w:r>
      <w:r w:rsidR="005A0921">
        <w:rPr>
          <w:noProof/>
        </w:rPr>
        <w:t>bril</w:t>
      </w:r>
      <w:r>
        <w:rPr>
          <w:noProof/>
        </w:rPr>
        <w:t xml:space="preserve"> de 20</w:t>
      </w:r>
      <w:r w:rsidR="005A0921">
        <w:rPr>
          <w:noProof/>
        </w:rPr>
        <w:t>23</w:t>
      </w:r>
      <w:r>
        <w:rPr>
          <w:noProof/>
        </w:rPr>
        <w:t>, de https://www.dane.gov.co/files/investigaciones/pib/ambientales/cuentas_ambientales/cuenta-del-agua/Boletin-tecnico-cuenta-ambiental-y-economica-del-agua-2015p.pdf</w:t>
      </w:r>
    </w:p>
    <w:p w14:paraId="66CF30B1" w14:textId="2C741A09" w:rsidR="000A66AF" w:rsidRDefault="000A66AF" w:rsidP="000A66AF">
      <w:pPr>
        <w:pStyle w:val="Bibliografa"/>
        <w:ind w:left="720" w:hanging="720"/>
        <w:rPr>
          <w:noProof/>
        </w:rPr>
      </w:pPr>
      <w:r>
        <w:rPr>
          <w:noProof/>
        </w:rPr>
        <w:t xml:space="preserve">INEC. (2023). </w:t>
      </w:r>
      <w:r>
        <w:rPr>
          <w:i/>
          <w:iCs/>
          <w:noProof/>
        </w:rPr>
        <w:t>Metodología de la ENESEM 2021.</w:t>
      </w:r>
      <w:r>
        <w:rPr>
          <w:noProof/>
        </w:rPr>
        <w:t xml:space="preserve"> INEC, Dirección </w:t>
      </w:r>
      <w:r>
        <w:rPr>
          <w:noProof/>
        </w:rPr>
        <w:lastRenderedPageBreak/>
        <w:t>de Estadísticas Económicas - DECON, Quito. Recuperado el 13 de abril de 2023, de http://www.ecuadorencifras.gob.ec/documentos/web-inec/Estadisticas_Economicas/Encuesta_Estructural_Empresarial/2021/2021_ENESEM_Metodologia.pdf</w:t>
      </w:r>
    </w:p>
    <w:p w14:paraId="358BE01A" w14:textId="557A6F70" w:rsidR="000A66AF" w:rsidRDefault="000A66AF" w:rsidP="000A66AF">
      <w:pPr>
        <w:pStyle w:val="Bibliografa"/>
        <w:ind w:left="720" w:hanging="720"/>
        <w:rPr>
          <w:noProof/>
        </w:rPr>
      </w:pPr>
      <w:r>
        <w:rPr>
          <w:noProof/>
        </w:rPr>
        <w:t xml:space="preserve">Ministerio de Energía y Minas. (2022). </w:t>
      </w:r>
      <w:r>
        <w:rPr>
          <w:i/>
          <w:iCs/>
          <w:noProof/>
        </w:rPr>
        <w:t>Balance Energético Nacional 2021.</w:t>
      </w:r>
      <w:r>
        <w:rPr>
          <w:noProof/>
        </w:rPr>
        <w:t xml:space="preserve"> Quito.</w:t>
      </w:r>
      <w:r w:rsidR="00540BF1">
        <w:rPr>
          <w:noProof/>
        </w:rPr>
        <w:t xml:space="preserve"> Recuperado el 13 de abril de 2023, de https://www.recursosyenergia.gob.ec/wp-content/uploads/2022/08/Balance_Energético_Nacional_2021-VF_opt.pdf</w:t>
      </w:r>
    </w:p>
    <w:p w14:paraId="52210B34" w14:textId="77777777" w:rsidR="000A66AF" w:rsidRDefault="000A66AF" w:rsidP="000A66AF">
      <w:pPr>
        <w:pStyle w:val="Bibliografa"/>
        <w:ind w:left="720" w:hanging="720"/>
        <w:rPr>
          <w:noProof/>
        </w:rPr>
      </w:pPr>
      <w:r>
        <w:rPr>
          <w:noProof/>
        </w:rPr>
        <w:t xml:space="preserve">O' Ryan, R. (2015). </w:t>
      </w:r>
      <w:r>
        <w:rPr>
          <w:i/>
          <w:iCs/>
          <w:noProof/>
        </w:rPr>
        <w:t>Revisión y análisis del modelo de promoción de políticas de producción sostenible y adopción de tecnologías verdes en empresas.</w:t>
      </w:r>
      <w:r>
        <w:rPr>
          <w:noProof/>
        </w:rPr>
        <w:t xml:space="preserve"> </w:t>
      </w:r>
    </w:p>
    <w:p w14:paraId="58B7A7D9" w14:textId="56EA6072" w:rsidR="000A66AF" w:rsidRDefault="000A66AF" w:rsidP="000A66AF">
      <w:pPr>
        <w:pStyle w:val="Bibliografa"/>
        <w:ind w:left="720" w:hanging="720"/>
        <w:rPr>
          <w:noProof/>
        </w:rPr>
      </w:pPr>
      <w:r>
        <w:rPr>
          <w:noProof/>
        </w:rPr>
        <w:t xml:space="preserve">Ramos, J. (06 de enero de 2019). Las certififcaciones ISO en el Perú. </w:t>
      </w:r>
      <w:r>
        <w:rPr>
          <w:i/>
          <w:iCs/>
          <w:noProof/>
        </w:rPr>
        <w:t>El Peruano</w:t>
      </w:r>
      <w:r>
        <w:rPr>
          <w:noProof/>
        </w:rPr>
        <w:t xml:space="preserve">. Recuperado el </w:t>
      </w:r>
      <w:r w:rsidR="00540BF1">
        <w:rPr>
          <w:noProof/>
        </w:rPr>
        <w:t>13</w:t>
      </w:r>
      <w:r>
        <w:rPr>
          <w:noProof/>
        </w:rPr>
        <w:t xml:space="preserve"> de </w:t>
      </w:r>
      <w:r w:rsidR="00540BF1">
        <w:rPr>
          <w:noProof/>
        </w:rPr>
        <w:t>abril</w:t>
      </w:r>
      <w:r>
        <w:rPr>
          <w:noProof/>
        </w:rPr>
        <w:t xml:space="preserve"> de 20</w:t>
      </w:r>
      <w:r w:rsidR="00540BF1">
        <w:rPr>
          <w:noProof/>
        </w:rPr>
        <w:t>23</w:t>
      </w:r>
      <w:r>
        <w:rPr>
          <w:noProof/>
        </w:rPr>
        <w:t>, de https://elperuano.pe/noticia-las-certificaciones-iso-el-peru-74495.aspx</w:t>
      </w:r>
    </w:p>
    <w:p w14:paraId="18AF277F" w14:textId="609E727B" w:rsidR="000A66AF" w:rsidRDefault="000A66AF" w:rsidP="000A66AF">
      <w:pPr>
        <w:pStyle w:val="Bibliografa"/>
        <w:ind w:left="720" w:hanging="720"/>
        <w:rPr>
          <w:noProof/>
        </w:rPr>
      </w:pPr>
      <w:r w:rsidRPr="000A66AF">
        <w:rPr>
          <w:noProof/>
          <w:lang w:val="en-US"/>
        </w:rPr>
        <w:t xml:space="preserve">UNEP. (2014). </w:t>
      </w:r>
      <w:r w:rsidRPr="000A66AF">
        <w:rPr>
          <w:i/>
          <w:iCs/>
          <w:noProof/>
          <w:lang w:val="en-US"/>
        </w:rPr>
        <w:t>Using indicators for Green Economy Policymaking (Working Paper).</w:t>
      </w:r>
      <w:r w:rsidRPr="000A66AF">
        <w:rPr>
          <w:noProof/>
          <w:lang w:val="en-US"/>
        </w:rPr>
        <w:t xml:space="preserve"> </w:t>
      </w:r>
      <w:r>
        <w:rPr>
          <w:noProof/>
        </w:rPr>
        <w:t>UNEP. Recuperado el 1</w:t>
      </w:r>
      <w:r w:rsidR="00540BF1">
        <w:rPr>
          <w:noProof/>
        </w:rPr>
        <w:t>3</w:t>
      </w:r>
      <w:r>
        <w:rPr>
          <w:noProof/>
        </w:rPr>
        <w:t xml:space="preserve"> de </w:t>
      </w:r>
      <w:r w:rsidR="00540BF1">
        <w:rPr>
          <w:noProof/>
        </w:rPr>
        <w:t>abril</w:t>
      </w:r>
      <w:r>
        <w:rPr>
          <w:noProof/>
        </w:rPr>
        <w:t xml:space="preserve"> de 20</w:t>
      </w:r>
      <w:r w:rsidR="00540BF1">
        <w:rPr>
          <w:noProof/>
        </w:rPr>
        <w:t>23</w:t>
      </w:r>
      <w:r>
        <w:rPr>
          <w:noProof/>
        </w:rPr>
        <w:t>, de https://wedocs.unep.org/bitstream/handle/20.500.11822/9532/-Using%20indicators%20for%20Green%20Economy%20policymaking-2014IndicatorsWorkingPaper.pdf</w:t>
      </w:r>
    </w:p>
    <w:p w14:paraId="44155F1C" w14:textId="77777777" w:rsidR="00646F55" w:rsidRPr="00BA7CD2" w:rsidRDefault="00646F55" w:rsidP="000A66AF">
      <w:pPr>
        <w:jc w:val="both"/>
        <w:rPr>
          <w:sz w:val="18"/>
        </w:rPr>
      </w:pPr>
      <w:r w:rsidRPr="00646F55">
        <w:rPr>
          <w:rFonts w:ascii="Century Gothic" w:hAnsi="Century Gothic" w:cs="Times New Roman"/>
          <w:color w:val="595959" w:themeColor="text1" w:themeTint="A6"/>
          <w:sz w:val="10"/>
          <w:szCs w:val="20"/>
          <w:lang w:val="es-ES_tradnl" w:eastAsia="es-ES_tradnl"/>
        </w:rPr>
        <w:fldChar w:fldCharType="end"/>
      </w:r>
    </w:p>
    <w:p w14:paraId="7E0AAC99" w14:textId="2C00021D" w:rsidR="00646F55" w:rsidRPr="0012411F" w:rsidRDefault="00646F55" w:rsidP="0012411F">
      <w:pPr>
        <w:jc w:val="both"/>
        <w:rPr>
          <w:rFonts w:ascii="Century Gothic" w:eastAsia="Times New Roman" w:hAnsi="Century Gothic" w:cs="Times New Roman"/>
          <w:color w:val="6E6E7C"/>
          <w:lang w:eastAsia="es-ES_tradnl"/>
        </w:rPr>
        <w:sectPr w:rsidR="00646F55" w:rsidRPr="0012411F" w:rsidSect="00870600">
          <w:type w:val="continuous"/>
          <w:pgSz w:w="11900" w:h="16840"/>
          <w:pgMar w:top="1417" w:right="1701" w:bottom="1417" w:left="1701" w:header="708" w:footer="708" w:gutter="0"/>
          <w:cols w:num="2" w:space="708"/>
          <w:titlePg/>
          <w:docGrid w:linePitch="360"/>
        </w:sectPr>
      </w:pPr>
    </w:p>
    <w:p w14:paraId="5EEF64B4" w14:textId="6BE047CD" w:rsidR="0007659A" w:rsidRDefault="00252897">
      <w:r>
        <w:rPr>
          <w:noProof/>
        </w:rPr>
        <w:lastRenderedPageBreak/>
        <w:drawing>
          <wp:anchor distT="0" distB="0" distL="114300" distR="114300" simplePos="0" relativeHeight="251689984" behindDoc="1" locked="0" layoutInCell="1" allowOverlap="1" wp14:anchorId="162F7FB5" wp14:editId="6F635957">
            <wp:simplePos x="0" y="0"/>
            <wp:positionH relativeFrom="column">
              <wp:posOffset>-1072184</wp:posOffset>
            </wp:positionH>
            <wp:positionV relativeFrom="paragraph">
              <wp:posOffset>-899796</wp:posOffset>
            </wp:positionV>
            <wp:extent cx="7533005" cy="10661015"/>
            <wp:effectExtent l="0" t="0" r="0" b="698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24" cstate="email">
                      <a:extLst>
                        <a:ext uri="{28A0092B-C50C-407E-A947-70E740481C1C}">
                          <a14:useLocalDpi xmlns:a14="http://schemas.microsoft.com/office/drawing/2010/main"/>
                        </a:ext>
                      </a:extLst>
                    </a:blip>
                    <a:stretch>
                      <a:fillRect/>
                    </a:stretch>
                  </pic:blipFill>
                  <pic:spPr>
                    <a:xfrm>
                      <a:off x="0" y="0"/>
                      <a:ext cx="7535851" cy="10665043"/>
                    </a:xfrm>
                    <a:prstGeom prst="rect">
                      <a:avLst/>
                    </a:prstGeom>
                  </pic:spPr>
                </pic:pic>
              </a:graphicData>
            </a:graphic>
            <wp14:sizeRelH relativeFrom="page">
              <wp14:pctWidth>0</wp14:pctWidth>
            </wp14:sizeRelH>
            <wp14:sizeRelV relativeFrom="page">
              <wp14:pctHeight>0</wp14:pctHeight>
            </wp14:sizeRelV>
          </wp:anchor>
        </w:drawing>
      </w:r>
    </w:p>
    <w:sectPr w:rsidR="0007659A" w:rsidSect="005B5BEB">
      <w:pgSz w:w="11900" w:h="16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BF270" w14:textId="77777777" w:rsidR="000F5FC7" w:rsidRDefault="000F5FC7" w:rsidP="0007659A">
      <w:r>
        <w:separator/>
      </w:r>
    </w:p>
  </w:endnote>
  <w:endnote w:type="continuationSeparator" w:id="0">
    <w:p w14:paraId="38BD4F33" w14:textId="77777777" w:rsidR="000F5FC7" w:rsidRDefault="000F5FC7" w:rsidP="0007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082980986"/>
      <w:docPartObj>
        <w:docPartGallery w:val="Page Numbers (Bottom of Page)"/>
        <w:docPartUnique/>
      </w:docPartObj>
    </w:sdtPr>
    <w:sdtEndPr>
      <w:rPr>
        <w:rStyle w:val="Nmerodepgina"/>
      </w:rPr>
    </w:sdtEndPr>
    <w:sdtContent>
      <w:p w14:paraId="4DF33258" w14:textId="60600C06" w:rsidR="00EE29C2" w:rsidRDefault="00EE29C2" w:rsidP="00646F5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1AB28709" w14:textId="77777777" w:rsidR="00EE29C2" w:rsidRDefault="00EE29C2" w:rsidP="00B22906">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Fonts w:ascii="Century Gothic" w:hAnsi="Century Gothic"/>
        <w:b/>
        <w:bCs/>
        <w:color w:val="FFFFFF" w:themeColor="background1"/>
        <w:sz w:val="32"/>
        <w:szCs w:val="32"/>
      </w:rPr>
      <w:id w:val="268822441"/>
      <w:docPartObj>
        <w:docPartGallery w:val="Page Numbers (Bottom of Page)"/>
        <w:docPartUnique/>
      </w:docPartObj>
    </w:sdtPr>
    <w:sdtEndPr>
      <w:rPr>
        <w:rStyle w:val="Nmerodepgina"/>
      </w:rPr>
    </w:sdtEndPr>
    <w:sdtContent>
      <w:p w14:paraId="5071F3C7" w14:textId="75452BE5" w:rsidR="00EE29C2" w:rsidRPr="00AE3B69" w:rsidRDefault="00EE29C2" w:rsidP="00AE3B69">
        <w:pPr>
          <w:pStyle w:val="Piedepgina"/>
          <w:framePr w:wrap="none" w:vAnchor="text" w:hAnchor="page" w:x="10060" w:y="268"/>
          <w:rPr>
            <w:rStyle w:val="Nmerodepgina"/>
            <w:rFonts w:ascii="Century Gothic" w:hAnsi="Century Gothic"/>
            <w:b/>
            <w:bCs/>
            <w:color w:val="FFFFFF" w:themeColor="background1"/>
            <w:sz w:val="32"/>
            <w:szCs w:val="32"/>
          </w:rPr>
        </w:pPr>
        <w:r w:rsidRPr="00AE3B69">
          <w:rPr>
            <w:rStyle w:val="Nmerodepgina"/>
            <w:rFonts w:ascii="Century Gothic" w:hAnsi="Century Gothic"/>
            <w:b/>
            <w:bCs/>
            <w:color w:val="FFFFFF" w:themeColor="background1"/>
            <w:sz w:val="32"/>
            <w:szCs w:val="32"/>
          </w:rPr>
          <w:fldChar w:fldCharType="begin"/>
        </w:r>
        <w:r w:rsidRPr="00AE3B69">
          <w:rPr>
            <w:rStyle w:val="Nmerodepgina"/>
            <w:rFonts w:ascii="Century Gothic" w:hAnsi="Century Gothic"/>
            <w:b/>
            <w:bCs/>
            <w:color w:val="FFFFFF" w:themeColor="background1"/>
            <w:sz w:val="32"/>
            <w:szCs w:val="32"/>
          </w:rPr>
          <w:instrText xml:space="preserve"> PAGE </w:instrText>
        </w:r>
        <w:r w:rsidRPr="00AE3B69">
          <w:rPr>
            <w:rStyle w:val="Nmerodepgina"/>
            <w:rFonts w:ascii="Century Gothic" w:hAnsi="Century Gothic"/>
            <w:b/>
            <w:bCs/>
            <w:color w:val="FFFFFF" w:themeColor="background1"/>
            <w:sz w:val="32"/>
            <w:szCs w:val="32"/>
          </w:rPr>
          <w:fldChar w:fldCharType="separate"/>
        </w:r>
        <w:r w:rsidR="004C1042">
          <w:rPr>
            <w:rStyle w:val="Nmerodepgina"/>
            <w:rFonts w:ascii="Century Gothic" w:hAnsi="Century Gothic"/>
            <w:b/>
            <w:bCs/>
            <w:noProof/>
            <w:color w:val="FFFFFF" w:themeColor="background1"/>
            <w:sz w:val="32"/>
            <w:szCs w:val="32"/>
          </w:rPr>
          <w:t>31</w:t>
        </w:r>
        <w:r w:rsidRPr="00AE3B69">
          <w:rPr>
            <w:rStyle w:val="Nmerodepgina"/>
            <w:rFonts w:ascii="Century Gothic" w:hAnsi="Century Gothic"/>
            <w:b/>
            <w:bCs/>
            <w:color w:val="FFFFFF" w:themeColor="background1"/>
            <w:sz w:val="32"/>
            <w:szCs w:val="32"/>
          </w:rPr>
          <w:fldChar w:fldCharType="end"/>
        </w:r>
      </w:p>
    </w:sdtContent>
  </w:sdt>
  <w:sdt>
    <w:sdtPr>
      <w:rPr>
        <w:rStyle w:val="Nmerodepgina"/>
        <w:rFonts w:ascii="Century Gothic" w:hAnsi="Century Gothic"/>
        <w:b/>
        <w:bCs/>
        <w:color w:val="646482"/>
        <w:sz w:val="32"/>
        <w:szCs w:val="32"/>
      </w:rPr>
      <w:id w:val="1654719744"/>
      <w:docPartObj>
        <w:docPartGallery w:val="Page Numbers (Bottom of Page)"/>
        <w:docPartUnique/>
      </w:docPartObj>
    </w:sdtPr>
    <w:sdtEndPr>
      <w:rPr>
        <w:rStyle w:val="Nmerodepgina"/>
      </w:rPr>
    </w:sdtEndPr>
    <w:sdtContent>
      <w:p w14:paraId="0ED9711C" w14:textId="77777777" w:rsidR="00B430A4" w:rsidRPr="00732090" w:rsidRDefault="00B430A4" w:rsidP="00B430A4">
        <w:pPr>
          <w:pStyle w:val="Piedepgina"/>
          <w:framePr w:wrap="none" w:vAnchor="text" w:hAnchor="page" w:x="10218" w:y="1"/>
          <w:rPr>
            <w:rStyle w:val="Nmerodepgina"/>
            <w:rFonts w:ascii="Century Gothic" w:hAnsi="Century Gothic"/>
            <w:b/>
            <w:bCs/>
            <w:color w:val="646482"/>
            <w:sz w:val="32"/>
            <w:szCs w:val="32"/>
          </w:rPr>
        </w:pPr>
        <w:r w:rsidRPr="00732090">
          <w:rPr>
            <w:rStyle w:val="Nmerodepgina"/>
            <w:rFonts w:ascii="Century Gothic" w:hAnsi="Century Gothic"/>
            <w:b/>
            <w:bCs/>
            <w:color w:val="646482"/>
            <w:sz w:val="32"/>
            <w:szCs w:val="32"/>
          </w:rPr>
          <w:fldChar w:fldCharType="begin"/>
        </w:r>
        <w:r w:rsidRPr="00732090">
          <w:rPr>
            <w:rStyle w:val="Nmerodepgina"/>
            <w:rFonts w:ascii="Century Gothic" w:hAnsi="Century Gothic"/>
            <w:b/>
            <w:bCs/>
            <w:color w:val="646482"/>
            <w:sz w:val="32"/>
            <w:szCs w:val="32"/>
          </w:rPr>
          <w:instrText xml:space="preserve"> PAGE </w:instrText>
        </w:r>
        <w:r w:rsidRPr="00732090">
          <w:rPr>
            <w:rStyle w:val="Nmerodepgina"/>
            <w:rFonts w:ascii="Century Gothic" w:hAnsi="Century Gothic"/>
            <w:b/>
            <w:bCs/>
            <w:color w:val="646482"/>
            <w:sz w:val="32"/>
            <w:szCs w:val="32"/>
          </w:rPr>
          <w:fldChar w:fldCharType="separate"/>
        </w:r>
        <w:r>
          <w:rPr>
            <w:rStyle w:val="Nmerodepgina"/>
            <w:rFonts w:ascii="Century Gothic" w:hAnsi="Century Gothic"/>
            <w:b/>
            <w:bCs/>
            <w:color w:val="646482"/>
            <w:sz w:val="32"/>
            <w:szCs w:val="32"/>
          </w:rPr>
          <w:t>2</w:t>
        </w:r>
        <w:r w:rsidRPr="00732090">
          <w:rPr>
            <w:rStyle w:val="Nmerodepgina"/>
            <w:rFonts w:ascii="Century Gothic" w:hAnsi="Century Gothic"/>
            <w:b/>
            <w:bCs/>
            <w:color w:val="646482"/>
            <w:sz w:val="32"/>
            <w:szCs w:val="32"/>
          </w:rPr>
          <w:fldChar w:fldCharType="end"/>
        </w:r>
      </w:p>
    </w:sdtContent>
  </w:sdt>
  <w:p w14:paraId="03DD00BD" w14:textId="77777777" w:rsidR="00EE29C2" w:rsidRPr="00AE3B69" w:rsidRDefault="00EE29C2" w:rsidP="00B22906">
    <w:pPr>
      <w:pStyle w:val="Piedepgina"/>
      <w:ind w:right="360"/>
      <w:rPr>
        <w:rFonts w:ascii="Century Gothic" w:hAnsi="Century Gothic"/>
        <w:b/>
        <w:bCs/>
        <w:color w:val="FFFFFF" w:themeColor="background1"/>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5CF17" w14:textId="77777777" w:rsidR="000F5FC7" w:rsidRDefault="000F5FC7" w:rsidP="0007659A">
      <w:r>
        <w:separator/>
      </w:r>
    </w:p>
  </w:footnote>
  <w:footnote w:type="continuationSeparator" w:id="0">
    <w:p w14:paraId="03A63EF1" w14:textId="77777777" w:rsidR="000F5FC7" w:rsidRDefault="000F5FC7" w:rsidP="0007659A">
      <w:r>
        <w:continuationSeparator/>
      </w:r>
    </w:p>
  </w:footnote>
  <w:footnote w:id="1">
    <w:p w14:paraId="490D9B95" w14:textId="77777777" w:rsidR="00EE29C2" w:rsidRPr="00C46E78" w:rsidRDefault="00EE29C2" w:rsidP="00646F55">
      <w:pPr>
        <w:pStyle w:val="Textonotapie"/>
      </w:pPr>
      <w:r>
        <w:rPr>
          <w:rStyle w:val="Refdenotaalpie"/>
        </w:rPr>
        <w:footnoteRef/>
      </w:r>
      <w:r w:rsidRPr="000B1C0F">
        <w:rPr>
          <w:rFonts w:asciiTheme="minorHAnsi" w:hAnsiTheme="minorHAnsi" w:cstheme="minorHAnsi"/>
          <w:sz w:val="16"/>
        </w:rPr>
        <w:t xml:space="preserve"> Traducción libre del autor, inglés-español</w:t>
      </w:r>
      <w:r w:rsidRPr="00C46E78">
        <w:rPr>
          <w:sz w:val="16"/>
        </w:rPr>
        <w:t>.</w:t>
      </w:r>
    </w:p>
  </w:footnote>
  <w:footnote w:id="2">
    <w:p w14:paraId="2A167EEB" w14:textId="62EAD9E7" w:rsidR="00EE29C2" w:rsidRDefault="00EE29C2" w:rsidP="00646F55">
      <w:pPr>
        <w:autoSpaceDE w:val="0"/>
        <w:autoSpaceDN w:val="0"/>
        <w:adjustRightInd w:val="0"/>
        <w:jc w:val="both"/>
        <w:rPr>
          <w:color w:val="000000"/>
          <w:sz w:val="16"/>
          <w:szCs w:val="20"/>
          <w:lang w:val="es-PR"/>
        </w:rPr>
      </w:pPr>
      <w:r>
        <w:rPr>
          <w:rStyle w:val="Refdenotaalpie"/>
        </w:rPr>
        <w:footnoteRef/>
      </w:r>
      <w:r>
        <w:rPr>
          <w:sz w:val="16"/>
        </w:rPr>
        <w:t xml:space="preserve"> En </w:t>
      </w:r>
      <w:sdt>
        <w:sdtPr>
          <w:rPr>
            <w:color w:val="000000"/>
            <w:sz w:val="18"/>
            <w:szCs w:val="20"/>
            <w:lang w:val="es-PR"/>
          </w:rPr>
          <w:id w:val="2129580705"/>
          <w:citation/>
        </w:sdtPr>
        <w:sdtEndPr>
          <w:rPr>
            <w:sz w:val="16"/>
          </w:rPr>
        </w:sdtEndPr>
        <w:sdtContent>
          <w:r w:rsidRPr="008A2BA7">
            <w:rPr>
              <w:color w:val="000000"/>
              <w:sz w:val="16"/>
              <w:szCs w:val="20"/>
              <w:lang w:val="es-PR"/>
            </w:rPr>
            <w:fldChar w:fldCharType="begin"/>
          </w:r>
          <w:r>
            <w:rPr>
              <w:color w:val="000000"/>
              <w:sz w:val="16"/>
              <w:lang w:val="es-PR"/>
            </w:rPr>
            <w:instrText xml:space="preserve">CITATION Cer17 \p 12 \l 20490 </w:instrText>
          </w:r>
          <w:r w:rsidRPr="008A2BA7">
            <w:rPr>
              <w:color w:val="000000"/>
              <w:sz w:val="16"/>
              <w:szCs w:val="20"/>
              <w:lang w:val="es-PR"/>
            </w:rPr>
            <w:fldChar w:fldCharType="separate"/>
          </w:r>
          <w:r w:rsidR="000A66AF" w:rsidRPr="000A66AF">
            <w:rPr>
              <w:noProof/>
              <w:color w:val="000000"/>
              <w:sz w:val="16"/>
              <w:lang w:val="es-PR"/>
            </w:rPr>
            <w:t>(Cervera-Ferri &amp; Ureña, 2017, pág. 12)</w:t>
          </w:r>
          <w:r w:rsidRPr="008A2BA7">
            <w:rPr>
              <w:color w:val="000000"/>
              <w:sz w:val="16"/>
              <w:szCs w:val="20"/>
              <w:lang w:val="es-PR"/>
            </w:rPr>
            <w:fldChar w:fldCharType="end"/>
          </w:r>
        </w:sdtContent>
      </w:sdt>
      <w:r>
        <w:rPr>
          <w:color w:val="000000"/>
          <w:sz w:val="16"/>
          <w:lang w:val="es-PR"/>
        </w:rPr>
        <w:t xml:space="preserve">, se cita a </w:t>
      </w:r>
      <w:sdt>
        <w:sdtPr>
          <w:rPr>
            <w:color w:val="000000"/>
            <w:sz w:val="16"/>
            <w:lang w:val="es-PR"/>
          </w:rPr>
          <w:id w:val="-829752412"/>
          <w:citation/>
        </w:sdtPr>
        <w:sdtEndPr/>
        <w:sdtContent>
          <w:r>
            <w:rPr>
              <w:color w:val="000000"/>
              <w:sz w:val="16"/>
              <w:lang w:val="es-PR"/>
            </w:rPr>
            <w:fldChar w:fldCharType="begin"/>
          </w:r>
          <w:r>
            <w:rPr>
              <w:color w:val="000000"/>
              <w:sz w:val="16"/>
              <w:lang w:val="es-PR"/>
            </w:rPr>
            <w:instrText xml:space="preserve">CITATION ORy15 \l 20490 </w:instrText>
          </w:r>
          <w:r>
            <w:rPr>
              <w:color w:val="000000"/>
              <w:sz w:val="16"/>
              <w:lang w:val="es-PR"/>
            </w:rPr>
            <w:fldChar w:fldCharType="separate"/>
          </w:r>
          <w:r w:rsidR="000A66AF" w:rsidRPr="000A66AF">
            <w:rPr>
              <w:noProof/>
              <w:color w:val="000000"/>
              <w:sz w:val="16"/>
              <w:lang w:val="es-PR"/>
            </w:rPr>
            <w:t>(O' Ryan, 2015)</w:t>
          </w:r>
          <w:r>
            <w:rPr>
              <w:color w:val="000000"/>
              <w:sz w:val="16"/>
              <w:lang w:val="es-PR"/>
            </w:rPr>
            <w:fldChar w:fldCharType="end"/>
          </w:r>
        </w:sdtContent>
      </w:sdt>
      <w:r>
        <w:rPr>
          <w:color w:val="000000"/>
          <w:sz w:val="16"/>
          <w:lang w:val="es-PR"/>
        </w:rPr>
        <w:t xml:space="preserve">, quien hace importantes reflexiones sobre la implementación concreta de un modelo global de “Economía Verde”: </w:t>
      </w:r>
      <w:r w:rsidRPr="009F4C30">
        <w:rPr>
          <w:b/>
          <w:color w:val="000000"/>
          <w:sz w:val="16"/>
          <w:lang w:val="es-PR"/>
        </w:rPr>
        <w:t>(1)</w:t>
      </w:r>
      <w:r>
        <w:rPr>
          <w:color w:val="000000"/>
          <w:sz w:val="16"/>
          <w:lang w:val="es-PR"/>
        </w:rPr>
        <w:t xml:space="preserve"> “Se exige </w:t>
      </w:r>
      <w:r w:rsidRPr="009F63B0">
        <w:rPr>
          <w:color w:val="000000"/>
          <w:sz w:val="16"/>
          <w:szCs w:val="20"/>
          <w:lang w:val="es-PR"/>
        </w:rPr>
        <w:t>cambios en la matriz productiva de los estados, lo cual deberá estar apoyado a través de incentivos económicos instituidos, así como por medidas políticas a gran escala que cuenten con un compromiso de carácter internacional</w:t>
      </w:r>
      <w:r>
        <w:rPr>
          <w:color w:val="000000"/>
          <w:sz w:val="16"/>
          <w:szCs w:val="20"/>
          <w:lang w:val="es-PR"/>
        </w:rPr>
        <w:t>”</w:t>
      </w:r>
      <w:r>
        <w:rPr>
          <w:color w:val="000000"/>
          <w:sz w:val="16"/>
          <w:lang w:val="es-PR"/>
        </w:rPr>
        <w:t xml:space="preserve">; </w:t>
      </w:r>
      <w:r w:rsidRPr="009F4C30">
        <w:rPr>
          <w:b/>
          <w:color w:val="000000"/>
          <w:sz w:val="16"/>
          <w:lang w:val="es-PR"/>
        </w:rPr>
        <w:t>(2)</w:t>
      </w:r>
      <w:r>
        <w:rPr>
          <w:color w:val="000000"/>
          <w:sz w:val="16"/>
          <w:lang w:val="es-PR"/>
        </w:rPr>
        <w:t xml:space="preserve"> “U</w:t>
      </w:r>
      <w:r w:rsidRPr="009F63B0">
        <w:rPr>
          <w:color w:val="000000"/>
          <w:sz w:val="16"/>
          <w:szCs w:val="20"/>
          <w:lang w:val="es-PR"/>
        </w:rPr>
        <w:t>no de los objetivos que se espera de las empresas, en el contexto de la economía verde, es el desacople del consumo de recursos de la producción. En este sentido, teniendo en cuenta los sistemas de producción, las empresas deben</w:t>
      </w:r>
      <w:r>
        <w:rPr>
          <w:color w:val="000000"/>
          <w:sz w:val="16"/>
          <w:szCs w:val="20"/>
          <w:lang w:val="es-PR"/>
        </w:rPr>
        <w:t xml:space="preserve"> </w:t>
      </w:r>
      <w:r w:rsidRPr="009F63B0">
        <w:rPr>
          <w:color w:val="000000"/>
          <w:sz w:val="16"/>
          <w:szCs w:val="20"/>
          <w:lang w:val="es-PR"/>
        </w:rPr>
        <w:t>adoptar estrategias de negocio que busquen maximizar la eficiencia de recursos y la producción más</w:t>
      </w:r>
      <w:r>
        <w:rPr>
          <w:color w:val="000000"/>
          <w:sz w:val="16"/>
          <w:szCs w:val="20"/>
          <w:lang w:val="es-PR"/>
        </w:rPr>
        <w:t xml:space="preserve"> limpia”;</w:t>
      </w:r>
      <w:r w:rsidRPr="009F63B0">
        <w:rPr>
          <w:color w:val="000000"/>
          <w:sz w:val="16"/>
          <w:szCs w:val="20"/>
          <w:lang w:val="es-PR"/>
        </w:rPr>
        <w:t xml:space="preserve"> </w:t>
      </w:r>
      <w:r w:rsidRPr="009F4C30">
        <w:rPr>
          <w:b/>
          <w:color w:val="000000"/>
          <w:sz w:val="16"/>
          <w:szCs w:val="20"/>
          <w:lang w:val="es-PR"/>
        </w:rPr>
        <w:t>(3)</w:t>
      </w:r>
      <w:r w:rsidRPr="009F63B0">
        <w:rPr>
          <w:color w:val="000000"/>
          <w:sz w:val="16"/>
          <w:szCs w:val="20"/>
          <w:lang w:val="es-PR"/>
        </w:rPr>
        <w:t xml:space="preserve"> </w:t>
      </w:r>
      <w:r>
        <w:rPr>
          <w:color w:val="000000"/>
          <w:sz w:val="16"/>
          <w:szCs w:val="20"/>
          <w:lang w:val="es-PR"/>
        </w:rPr>
        <w:t>“</w:t>
      </w:r>
      <w:r w:rsidRPr="009F63B0">
        <w:rPr>
          <w:color w:val="000000"/>
          <w:sz w:val="16"/>
          <w:szCs w:val="20"/>
          <w:lang w:val="es-PR"/>
        </w:rPr>
        <w:t>Esto les obliga a maximizar</w:t>
      </w:r>
      <w:r>
        <w:rPr>
          <w:color w:val="000000"/>
          <w:sz w:val="16"/>
          <w:szCs w:val="20"/>
          <w:lang w:val="es-PR"/>
        </w:rPr>
        <w:t xml:space="preserve"> </w:t>
      </w:r>
      <w:r w:rsidRPr="009F63B0">
        <w:rPr>
          <w:color w:val="000000"/>
          <w:sz w:val="16"/>
          <w:szCs w:val="20"/>
          <w:lang w:val="es-PR"/>
        </w:rPr>
        <w:t xml:space="preserve">primero la </w:t>
      </w:r>
      <w:r w:rsidRPr="00494EE7">
        <w:rPr>
          <w:i/>
          <w:color w:val="000000"/>
          <w:sz w:val="16"/>
          <w:szCs w:val="20"/>
          <w:lang w:val="es-PR"/>
        </w:rPr>
        <w:t>eficiencia con la que usan la energía y las materias primas</w:t>
      </w:r>
      <w:r w:rsidRPr="009F63B0">
        <w:rPr>
          <w:color w:val="000000"/>
          <w:sz w:val="16"/>
          <w:szCs w:val="20"/>
          <w:lang w:val="es-PR"/>
        </w:rPr>
        <w:t>, mediante una producción más</w:t>
      </w:r>
      <w:r>
        <w:rPr>
          <w:color w:val="000000"/>
          <w:sz w:val="16"/>
          <w:szCs w:val="20"/>
          <w:lang w:val="es-PR"/>
        </w:rPr>
        <w:t xml:space="preserve"> </w:t>
      </w:r>
      <w:r w:rsidRPr="009F63B0">
        <w:rPr>
          <w:color w:val="000000"/>
          <w:sz w:val="16"/>
          <w:szCs w:val="20"/>
          <w:lang w:val="es-PR"/>
        </w:rPr>
        <w:t xml:space="preserve">limpia, a la </w:t>
      </w:r>
      <w:r w:rsidRPr="00494EE7">
        <w:rPr>
          <w:i/>
          <w:color w:val="000000"/>
          <w:sz w:val="16"/>
          <w:szCs w:val="20"/>
          <w:lang w:val="es-PR"/>
        </w:rPr>
        <w:t>prevención de la contaminación</w:t>
      </w:r>
      <w:r w:rsidRPr="009F63B0">
        <w:rPr>
          <w:color w:val="000000"/>
          <w:sz w:val="16"/>
          <w:szCs w:val="20"/>
          <w:lang w:val="es-PR"/>
        </w:rPr>
        <w:t xml:space="preserve">, así como a maximizar la </w:t>
      </w:r>
      <w:r w:rsidRPr="00494EE7">
        <w:rPr>
          <w:i/>
          <w:color w:val="000000"/>
          <w:sz w:val="16"/>
          <w:szCs w:val="20"/>
          <w:lang w:val="es-PR"/>
        </w:rPr>
        <w:t>productividad</w:t>
      </w:r>
      <w:r w:rsidRPr="009F63B0">
        <w:rPr>
          <w:color w:val="000000"/>
          <w:sz w:val="16"/>
          <w:szCs w:val="20"/>
          <w:lang w:val="es-PR"/>
        </w:rPr>
        <w:t>. Las propias</w:t>
      </w:r>
      <w:r>
        <w:rPr>
          <w:color w:val="000000"/>
          <w:sz w:val="16"/>
          <w:szCs w:val="20"/>
          <w:lang w:val="es-PR"/>
        </w:rPr>
        <w:t xml:space="preserve"> </w:t>
      </w:r>
      <w:r w:rsidRPr="009F63B0">
        <w:rPr>
          <w:color w:val="000000"/>
          <w:sz w:val="16"/>
          <w:szCs w:val="20"/>
          <w:lang w:val="es-PR"/>
        </w:rPr>
        <w:t xml:space="preserve">empresas también pueden promover el desacople, emigrando a un uso de </w:t>
      </w:r>
      <w:r w:rsidRPr="00494EE7">
        <w:rPr>
          <w:i/>
          <w:color w:val="000000"/>
          <w:sz w:val="16"/>
          <w:szCs w:val="20"/>
          <w:lang w:val="es-PR"/>
        </w:rPr>
        <w:t>fuentes de energía renovables y materiales reciclables o reutilizables</w:t>
      </w:r>
      <w:r w:rsidRPr="009F63B0">
        <w:rPr>
          <w:color w:val="000000"/>
          <w:sz w:val="16"/>
          <w:szCs w:val="20"/>
          <w:lang w:val="es-PR"/>
        </w:rPr>
        <w:t>, por ejemplo, mediante la sustitución de los</w:t>
      </w:r>
      <w:r>
        <w:rPr>
          <w:color w:val="000000"/>
          <w:sz w:val="16"/>
          <w:szCs w:val="20"/>
          <w:lang w:val="es-PR"/>
        </w:rPr>
        <w:t xml:space="preserve"> </w:t>
      </w:r>
      <w:r w:rsidRPr="009F63B0">
        <w:rPr>
          <w:color w:val="000000"/>
          <w:sz w:val="16"/>
          <w:szCs w:val="20"/>
          <w:lang w:val="es-PR"/>
        </w:rPr>
        <w:t>combustibles fósiles en calderas por biomasa, o usand</w:t>
      </w:r>
      <w:r>
        <w:rPr>
          <w:color w:val="000000"/>
          <w:sz w:val="16"/>
          <w:szCs w:val="20"/>
          <w:lang w:val="es-PR"/>
        </w:rPr>
        <w:t>o la energía solar, entre otras”;</w:t>
      </w:r>
      <w:r w:rsidRPr="009F63B0">
        <w:rPr>
          <w:color w:val="000000"/>
          <w:sz w:val="16"/>
          <w:szCs w:val="20"/>
          <w:lang w:val="es-PR"/>
        </w:rPr>
        <w:t xml:space="preserve"> </w:t>
      </w:r>
      <w:r w:rsidRPr="009F4C30">
        <w:rPr>
          <w:b/>
          <w:color w:val="000000"/>
          <w:sz w:val="16"/>
          <w:szCs w:val="20"/>
          <w:lang w:val="es-PR"/>
        </w:rPr>
        <w:t>(4)</w:t>
      </w:r>
      <w:r>
        <w:rPr>
          <w:color w:val="000000"/>
          <w:sz w:val="16"/>
          <w:szCs w:val="20"/>
          <w:lang w:val="es-PR"/>
        </w:rPr>
        <w:t xml:space="preserve"> “E</w:t>
      </w:r>
      <w:r w:rsidRPr="009F63B0">
        <w:rPr>
          <w:color w:val="000000"/>
          <w:sz w:val="16"/>
          <w:szCs w:val="20"/>
          <w:lang w:val="es-PR"/>
        </w:rPr>
        <w:t xml:space="preserve">l uso de </w:t>
      </w:r>
      <w:r w:rsidRPr="00494EE7">
        <w:rPr>
          <w:i/>
          <w:color w:val="000000"/>
          <w:sz w:val="16"/>
          <w:szCs w:val="20"/>
          <w:lang w:val="es-PR"/>
        </w:rPr>
        <w:t>sistemas de gestión</w:t>
      </w:r>
      <w:r w:rsidRPr="009F63B0">
        <w:rPr>
          <w:color w:val="000000"/>
          <w:sz w:val="16"/>
          <w:szCs w:val="20"/>
          <w:lang w:val="es-PR"/>
        </w:rPr>
        <w:t>, en los que se tienen en cuenta los insumos humanos, los financieros,</w:t>
      </w:r>
      <w:r>
        <w:rPr>
          <w:color w:val="000000"/>
          <w:sz w:val="16"/>
          <w:szCs w:val="20"/>
          <w:lang w:val="es-PR"/>
        </w:rPr>
        <w:t xml:space="preserve"> </w:t>
      </w:r>
      <w:r w:rsidRPr="009F63B0">
        <w:rPr>
          <w:color w:val="000000"/>
          <w:sz w:val="16"/>
          <w:szCs w:val="20"/>
          <w:lang w:val="es-PR"/>
        </w:rPr>
        <w:t>los procesos de formación, la innovación y la certificación, es el medio más eficaz para que cualquier</w:t>
      </w:r>
      <w:r>
        <w:rPr>
          <w:color w:val="000000"/>
          <w:sz w:val="16"/>
          <w:szCs w:val="20"/>
          <w:lang w:val="es-PR"/>
        </w:rPr>
        <w:t xml:space="preserve"> </w:t>
      </w:r>
      <w:r w:rsidRPr="009F63B0">
        <w:rPr>
          <w:color w:val="000000"/>
          <w:sz w:val="16"/>
          <w:szCs w:val="20"/>
          <w:lang w:val="es-PR"/>
        </w:rPr>
        <w:t>empresa asegure la implantación de las estrategias 3R</w:t>
      </w:r>
      <w:r>
        <w:rPr>
          <w:color w:val="000000"/>
          <w:sz w:val="16"/>
          <w:szCs w:val="20"/>
          <w:lang w:val="es-PR"/>
        </w:rPr>
        <w:t xml:space="preserve"> (Reducir, Reciclar, Reutilizar)</w:t>
      </w:r>
      <w:r w:rsidRPr="009F63B0">
        <w:rPr>
          <w:color w:val="000000"/>
          <w:sz w:val="16"/>
          <w:szCs w:val="20"/>
          <w:lang w:val="es-PR"/>
        </w:rPr>
        <w:t>, de manera eficiente y continua</w:t>
      </w:r>
      <w:r>
        <w:rPr>
          <w:color w:val="000000"/>
          <w:sz w:val="16"/>
          <w:szCs w:val="20"/>
          <w:lang w:val="es-PR"/>
        </w:rPr>
        <w:t>”.</w:t>
      </w:r>
    </w:p>
    <w:p w14:paraId="3C0FC467" w14:textId="3079AB47" w:rsidR="00EE29C2" w:rsidRPr="00614AD4" w:rsidRDefault="00EE29C2" w:rsidP="00646F55">
      <w:pPr>
        <w:autoSpaceDE w:val="0"/>
        <w:autoSpaceDN w:val="0"/>
        <w:adjustRightInd w:val="0"/>
        <w:jc w:val="both"/>
      </w:pPr>
      <w:r>
        <w:rPr>
          <w:color w:val="000000"/>
          <w:sz w:val="16"/>
          <w:szCs w:val="20"/>
          <w:lang w:val="es-PR"/>
        </w:rPr>
        <w:t xml:space="preserve">Tomando en cuenta estos señalamientos al momento de diseñar el cuestionario del Módulo Ambiental de la ENESEM 2020, es relevante señalar que dicho cuestionario puede también considerarse como un modelo de inventario mínimo de información económico-ambiental para las empresas ecuatorianas, pues el hecho de que las empresas controlen en forma continua las variables levantadas en el mencionado módulo les permitirían saber, en forma cualitativa, cuán cerca o lejos están de lograr definirse como “Empresas de Economía Verde”. </w:t>
      </w:r>
    </w:p>
  </w:footnote>
  <w:footnote w:id="3">
    <w:p w14:paraId="43EE84C0" w14:textId="77777777" w:rsidR="00EE29C2" w:rsidRPr="00045937" w:rsidRDefault="00EE29C2" w:rsidP="00646F55">
      <w:pPr>
        <w:pStyle w:val="Textonotapie"/>
      </w:pPr>
      <w:r>
        <w:rPr>
          <w:rStyle w:val="Refdenotaalpie"/>
        </w:rPr>
        <w:footnoteRef/>
      </w:r>
      <w:r w:rsidRPr="000B1C0F">
        <w:rPr>
          <w:rFonts w:asciiTheme="minorHAnsi" w:hAnsiTheme="minorHAnsi" w:cstheme="minorHAnsi"/>
          <w:sz w:val="16"/>
        </w:rPr>
        <w:t xml:space="preserve"> Las cursivas aparecen en el texto citado</w:t>
      </w:r>
      <w:r w:rsidRPr="00045937">
        <w:rPr>
          <w:sz w:val="16"/>
        </w:rPr>
        <w:t>.</w:t>
      </w:r>
    </w:p>
  </w:footnote>
  <w:footnote w:id="4">
    <w:p w14:paraId="306791B8" w14:textId="10F6BC2E" w:rsidR="00EE29C2" w:rsidRPr="008A2BA7" w:rsidRDefault="00EE29C2" w:rsidP="00646F55">
      <w:pPr>
        <w:autoSpaceDE w:val="0"/>
        <w:autoSpaceDN w:val="0"/>
        <w:adjustRightInd w:val="0"/>
        <w:jc w:val="both"/>
      </w:pPr>
      <w:r>
        <w:rPr>
          <w:rStyle w:val="Refdenotaalpie"/>
        </w:rPr>
        <w:footnoteRef/>
      </w:r>
      <w:r w:rsidRPr="008A2BA7">
        <w:rPr>
          <w:sz w:val="16"/>
          <w:szCs w:val="20"/>
        </w:rPr>
        <w:t xml:space="preserve"> Las temáticas que abarcan los indicadores del SIPV son: consumo y uso de recursos naturales,</w:t>
      </w:r>
      <w:r>
        <w:rPr>
          <w:sz w:val="16"/>
          <w:szCs w:val="20"/>
        </w:rPr>
        <w:t xml:space="preserve"> </w:t>
      </w:r>
      <w:r w:rsidRPr="008A2BA7">
        <w:rPr>
          <w:sz w:val="16"/>
          <w:szCs w:val="20"/>
        </w:rPr>
        <w:t>desechos y aguas residuales, tecnologías verdes, eco-innovación y patentes, empleo y capacitación y</w:t>
      </w:r>
      <w:r>
        <w:rPr>
          <w:sz w:val="16"/>
          <w:szCs w:val="20"/>
        </w:rPr>
        <w:t xml:space="preserve"> </w:t>
      </w:r>
      <w:r w:rsidRPr="008A2BA7">
        <w:rPr>
          <w:sz w:val="16"/>
          <w:szCs w:val="20"/>
        </w:rPr>
        <w:t>oportunidades económicas y respuestas normativas.</w:t>
      </w:r>
      <w:r>
        <w:rPr>
          <w:sz w:val="16"/>
          <w:szCs w:val="20"/>
        </w:rPr>
        <w:t xml:space="preserve"> Actualmente, el Módulo Ambiental - ENESEM estudia parte de estas temáticas. Más información: </w:t>
      </w:r>
      <w:sdt>
        <w:sdtPr>
          <w:rPr>
            <w:color w:val="000000"/>
            <w:sz w:val="18"/>
            <w:szCs w:val="20"/>
            <w:lang w:val="es-PR"/>
          </w:rPr>
          <w:id w:val="-606263794"/>
          <w:citation/>
        </w:sdtPr>
        <w:sdtEndPr>
          <w:rPr>
            <w:sz w:val="16"/>
          </w:rPr>
        </w:sdtEndPr>
        <w:sdtContent>
          <w:r w:rsidRPr="008A2BA7">
            <w:rPr>
              <w:color w:val="000000"/>
              <w:sz w:val="16"/>
              <w:szCs w:val="20"/>
              <w:lang w:val="es-PR"/>
            </w:rPr>
            <w:fldChar w:fldCharType="begin"/>
          </w:r>
          <w:r>
            <w:rPr>
              <w:color w:val="000000"/>
              <w:sz w:val="16"/>
              <w:szCs w:val="20"/>
              <w:lang w:val="es-PR"/>
            </w:rPr>
            <w:instrText xml:space="preserve">CITATION Cer17 \p 30 \l 20490 </w:instrText>
          </w:r>
          <w:r w:rsidRPr="008A2BA7">
            <w:rPr>
              <w:color w:val="000000"/>
              <w:sz w:val="16"/>
              <w:szCs w:val="20"/>
              <w:lang w:val="es-PR"/>
            </w:rPr>
            <w:fldChar w:fldCharType="separate"/>
          </w:r>
          <w:r w:rsidR="000A66AF" w:rsidRPr="000A66AF">
            <w:rPr>
              <w:noProof/>
              <w:color w:val="000000"/>
              <w:sz w:val="16"/>
              <w:szCs w:val="20"/>
              <w:lang w:val="es-PR"/>
            </w:rPr>
            <w:t>(Cervera-Ferri &amp; Ureña, 2017, pág. 30)</w:t>
          </w:r>
          <w:r w:rsidRPr="008A2BA7">
            <w:rPr>
              <w:color w:val="000000"/>
              <w:sz w:val="16"/>
              <w:szCs w:val="20"/>
              <w:lang w:val="es-PR"/>
            </w:rPr>
            <w:fldChar w:fldCharType="end"/>
          </w:r>
        </w:sdtContent>
      </w:sdt>
    </w:p>
  </w:footnote>
  <w:footnote w:id="5">
    <w:p w14:paraId="104DFCC4" w14:textId="6089F5FA" w:rsidR="00EE29C2" w:rsidRPr="00903D0C" w:rsidRDefault="00EE29C2" w:rsidP="00646F55">
      <w:pPr>
        <w:pStyle w:val="Textonotapie"/>
        <w:jc w:val="both"/>
        <w:rPr>
          <w:lang w:val="es-PR"/>
        </w:rPr>
      </w:pPr>
      <w:r>
        <w:rPr>
          <w:rStyle w:val="Refdenotaalpie"/>
        </w:rPr>
        <w:footnoteRef/>
      </w:r>
      <w:r w:rsidRPr="00903D0C">
        <w:rPr>
          <w:sz w:val="16"/>
        </w:rPr>
        <w:t xml:space="preserve"> Para el lector interesado en estudiar más a fondo el agregado de Impacto Ambiental, así como para realizar análisis adicionales basados en este agregado ambiental, favor remitirse al </w:t>
      </w:r>
      <w:r>
        <w:rPr>
          <w:sz w:val="16"/>
        </w:rPr>
        <w:t>apartado final de la</w:t>
      </w:r>
      <w:r w:rsidRPr="00903D0C">
        <w:rPr>
          <w:sz w:val="16"/>
        </w:rPr>
        <w:t xml:space="preserve"> </w:t>
      </w:r>
      <w:r>
        <w:rPr>
          <w:rFonts w:cs="Calibri"/>
          <w:b/>
          <w:color w:val="2D4B88"/>
          <w:sz w:val="16"/>
          <w:szCs w:val="22"/>
        </w:rPr>
        <w:t>Sintaxis de Tabulados e Indicadores del MA ENESEM 202</w:t>
      </w:r>
      <w:r w:rsidR="002648A9">
        <w:rPr>
          <w:rFonts w:cs="Calibri"/>
          <w:b/>
          <w:color w:val="2D4B88"/>
          <w:sz w:val="16"/>
          <w:szCs w:val="22"/>
        </w:rPr>
        <w:t>1</w:t>
      </w:r>
      <w:r w:rsidRPr="00903D0C">
        <w:rPr>
          <w:sz w:val="16"/>
        </w:rPr>
        <w:t>, en donde podrá encontrar el código</w:t>
      </w:r>
      <w:r w:rsidR="00A85A28">
        <w:rPr>
          <w:sz w:val="16"/>
        </w:rPr>
        <w:t xml:space="preserve"> en lenguaje de programación R</w:t>
      </w:r>
      <w:r w:rsidRPr="00903D0C">
        <w:rPr>
          <w:sz w:val="16"/>
        </w:rPr>
        <w:t xml:space="preserve"> </w:t>
      </w:r>
      <w:r w:rsidR="00A85A28">
        <w:rPr>
          <w:sz w:val="16"/>
        </w:rPr>
        <w:t>que</w:t>
      </w:r>
      <w:r w:rsidRPr="00903D0C">
        <w:rPr>
          <w:sz w:val="16"/>
        </w:rPr>
        <w:t xml:space="preserve"> constru</w:t>
      </w:r>
      <w:r w:rsidR="00A85A28">
        <w:rPr>
          <w:sz w:val="16"/>
        </w:rPr>
        <w:t xml:space="preserve">ye </w:t>
      </w:r>
      <w:r w:rsidRPr="00903D0C">
        <w:rPr>
          <w:sz w:val="16"/>
        </w:rPr>
        <w:t xml:space="preserve">el agregado mencionado a partir de las variables de la base de datos del Módulo Ambiental de la </w:t>
      </w:r>
      <w:r>
        <w:rPr>
          <w:sz w:val="16"/>
        </w:rPr>
        <w:t>ENESEM 202</w:t>
      </w:r>
      <w:r w:rsidR="00A85A28">
        <w:rPr>
          <w:sz w:val="16"/>
        </w:rPr>
        <w:t>1</w:t>
      </w:r>
      <w:r w:rsidRPr="00903D0C">
        <w:rPr>
          <w:sz w:val="16"/>
        </w:rPr>
        <w:t>.</w:t>
      </w:r>
    </w:p>
  </w:footnote>
  <w:footnote w:id="6">
    <w:p w14:paraId="1AE6922B" w14:textId="50ED8DDB" w:rsidR="00EE29C2" w:rsidRPr="00B1069A" w:rsidRDefault="00EE29C2" w:rsidP="00646F55">
      <w:pPr>
        <w:pStyle w:val="Textonotapie"/>
        <w:jc w:val="both"/>
      </w:pPr>
      <w:r>
        <w:rPr>
          <w:rStyle w:val="Refdenotaalpie"/>
        </w:rPr>
        <w:footnoteRef/>
      </w:r>
      <w:r>
        <w:rPr>
          <w:sz w:val="16"/>
        </w:rPr>
        <w:t xml:space="preserve"> Se hi</w:t>
      </w:r>
      <w:r w:rsidR="00B8336F">
        <w:rPr>
          <w:sz w:val="16"/>
        </w:rPr>
        <w:t>cieron</w:t>
      </w:r>
      <w:r>
        <w:rPr>
          <w:sz w:val="16"/>
        </w:rPr>
        <w:t xml:space="preserve"> e</w:t>
      </w:r>
      <w:r w:rsidR="00B8336F">
        <w:rPr>
          <w:sz w:val="16"/>
        </w:rPr>
        <w:t>stos</w:t>
      </w:r>
      <w:r>
        <w:rPr>
          <w:sz w:val="16"/>
        </w:rPr>
        <w:t xml:space="preserve"> cambio</w:t>
      </w:r>
      <w:r w:rsidR="00B8336F">
        <w:rPr>
          <w:sz w:val="16"/>
        </w:rPr>
        <w:t>s</w:t>
      </w:r>
      <w:r>
        <w:rPr>
          <w:sz w:val="16"/>
        </w:rPr>
        <w:t xml:space="preserve"> metodológico</w:t>
      </w:r>
      <w:r w:rsidR="00B8336F">
        <w:rPr>
          <w:sz w:val="16"/>
        </w:rPr>
        <w:t>s</w:t>
      </w:r>
      <w:r>
        <w:rPr>
          <w:sz w:val="16"/>
        </w:rPr>
        <w:t xml:space="preserve"> </w:t>
      </w:r>
      <w:r w:rsidR="00B8336F">
        <w:rPr>
          <w:sz w:val="16"/>
        </w:rPr>
        <w:t>como resultado de reuniones de varias direcciones del</w:t>
      </w:r>
      <w:r w:rsidRPr="00E65130">
        <w:rPr>
          <w:sz w:val="16"/>
        </w:rPr>
        <w:t xml:space="preserve"> INEC </w:t>
      </w:r>
      <w:r w:rsidR="00B8336F">
        <w:rPr>
          <w:sz w:val="16"/>
        </w:rPr>
        <w:t>que tuvieron por objetivo optimizar las variables investigadas en toda la ENESEM 2021</w:t>
      </w:r>
      <w:r w:rsidRPr="00E65130">
        <w:rPr>
          <w:sz w:val="16"/>
        </w:rPr>
        <w:t>.</w:t>
      </w:r>
    </w:p>
  </w:footnote>
  <w:footnote w:id="7">
    <w:p w14:paraId="1A82407C" w14:textId="7DA8A02E" w:rsidR="00EE29C2" w:rsidRPr="00FC18E1" w:rsidRDefault="00EE29C2" w:rsidP="00646F55">
      <w:pPr>
        <w:pStyle w:val="Textonotapie"/>
        <w:jc w:val="both"/>
      </w:pPr>
      <w:r>
        <w:rPr>
          <w:rStyle w:val="Refdenotaalpie"/>
        </w:rPr>
        <w:footnoteRef/>
      </w:r>
      <w:r w:rsidRPr="00FC18E1">
        <w:rPr>
          <w:sz w:val="16"/>
        </w:rPr>
        <w:t xml:space="preserve"> </w:t>
      </w:r>
      <w:r>
        <w:rPr>
          <w:sz w:val="16"/>
        </w:rPr>
        <w:t>El Impacto Ambiental 202</w:t>
      </w:r>
      <w:r w:rsidR="00A32EC9">
        <w:rPr>
          <w:sz w:val="16"/>
        </w:rPr>
        <w:t>1</w:t>
      </w:r>
      <w:r>
        <w:rPr>
          <w:sz w:val="16"/>
        </w:rPr>
        <w:t xml:space="preserve"> se calcul</w:t>
      </w:r>
      <w:r w:rsidR="00A32EC9">
        <w:rPr>
          <w:sz w:val="16"/>
        </w:rPr>
        <w:t>a</w:t>
      </w:r>
      <w:r>
        <w:rPr>
          <w:sz w:val="16"/>
        </w:rPr>
        <w:t xml:space="preserve"> a nivel de empresa. Para dar una medida agregada a nivel de actividad económica, se escogió la mediana de este constructo, debido a que su distribución es más similar a la de una distribución normal estándar que otros agregados (promedio, máximo, mínimo). </w:t>
      </w:r>
      <w:r w:rsidR="00A32EC9">
        <w:rPr>
          <w:sz w:val="16"/>
        </w:rPr>
        <w:t>A diferencia de años anteriores cuando se calculaba un impacto relativo con respecto al de l</w:t>
      </w:r>
      <w:r>
        <w:rPr>
          <w:sz w:val="16"/>
        </w:rPr>
        <w:t xml:space="preserve">a actividad económica de referencia </w:t>
      </w:r>
      <w:r w:rsidR="00A32EC9">
        <w:rPr>
          <w:sz w:val="16"/>
        </w:rPr>
        <w:t xml:space="preserve">-aquella con el impacto absoluto menor-, en el año 2021 se determinó como Impacto Ambiental un valor entre 1 y 100 como resultado de transformar en centiles los valores del agregado aditivo de todos los sumandos (logaritmos de las variables de escala). Como resultado, el Impacto Ambiental es una medida numérica cualitativa del grado de impacto ambiental negativo de </w:t>
      </w:r>
      <w:r w:rsidR="00CE632D">
        <w:rPr>
          <w:sz w:val="16"/>
        </w:rPr>
        <w:t>cada una de las empresas investigadas.</w:t>
      </w:r>
    </w:p>
  </w:footnote>
  <w:footnote w:id="8">
    <w:p w14:paraId="49186FF8" w14:textId="77777777" w:rsidR="00EE29C2" w:rsidRPr="00C537F9" w:rsidRDefault="00EE29C2" w:rsidP="00646F55">
      <w:pPr>
        <w:pStyle w:val="Textonotapie"/>
        <w:jc w:val="both"/>
      </w:pPr>
      <w:r>
        <w:rPr>
          <w:rStyle w:val="Refdenotaalpie"/>
        </w:rPr>
        <w:footnoteRef/>
      </w:r>
      <w:r>
        <w:t xml:space="preserve"> </w:t>
      </w:r>
      <w:r w:rsidRPr="00C537F9">
        <w:rPr>
          <w:sz w:val="16"/>
        </w:rPr>
        <w:t>Entendido como el proceso de reducción progresiva del uso intensivo de recursos naturales y de la contaminación ambiental</w:t>
      </w:r>
      <w:r>
        <w:rPr>
          <w:sz w:val="16"/>
        </w:rPr>
        <w:t xml:space="preserve"> en los procesos productivos de las empresas, de manera que estos procesos dependan cada vez menos de insumos y capital material y dependan cada vez más de capital tecnológico amigable con el ambiente y de capital intelectual e intangible.</w:t>
      </w:r>
    </w:p>
  </w:footnote>
  <w:footnote w:id="9">
    <w:p w14:paraId="498C6458" w14:textId="757FFDAD" w:rsidR="00EE29C2" w:rsidRPr="00813216" w:rsidRDefault="00EE29C2" w:rsidP="00646F55">
      <w:pPr>
        <w:pStyle w:val="Textonotapie"/>
        <w:jc w:val="both"/>
        <w:rPr>
          <w:lang w:val="es-PR"/>
        </w:rPr>
      </w:pPr>
      <w:r>
        <w:rPr>
          <w:rStyle w:val="Refdenotaalpie"/>
        </w:rPr>
        <w:footnoteRef/>
      </w:r>
      <w:r>
        <w:t xml:space="preserve"> </w:t>
      </w:r>
      <w:r>
        <w:rPr>
          <w:sz w:val="16"/>
          <w:szCs w:val="16"/>
        </w:rPr>
        <w:t xml:space="preserve">El </w:t>
      </w:r>
      <w:r w:rsidR="005350A5">
        <w:rPr>
          <w:sz w:val="16"/>
          <w:szCs w:val="16"/>
        </w:rPr>
        <w:t>Ministerio de Energía y Minas</w:t>
      </w:r>
      <w:r>
        <w:rPr>
          <w:sz w:val="16"/>
          <w:szCs w:val="16"/>
        </w:rPr>
        <w:t xml:space="preserve"> publicó en su </w:t>
      </w:r>
      <w:r>
        <w:rPr>
          <w:i/>
          <w:iCs/>
          <w:sz w:val="16"/>
          <w:szCs w:val="16"/>
        </w:rPr>
        <w:t>Balance Energético Nacional 20</w:t>
      </w:r>
      <w:r w:rsidR="005350A5">
        <w:rPr>
          <w:i/>
          <w:iCs/>
          <w:sz w:val="16"/>
          <w:szCs w:val="16"/>
        </w:rPr>
        <w:t>2</w:t>
      </w:r>
      <w:r>
        <w:rPr>
          <w:i/>
          <w:iCs/>
          <w:sz w:val="16"/>
          <w:szCs w:val="16"/>
        </w:rPr>
        <w:t xml:space="preserve">1 </w:t>
      </w:r>
      <w:r>
        <w:rPr>
          <w:sz w:val="16"/>
          <w:szCs w:val="16"/>
        </w:rPr>
        <w:t>los valores de la serie 20</w:t>
      </w:r>
      <w:r w:rsidR="005350A5">
        <w:rPr>
          <w:sz w:val="16"/>
          <w:szCs w:val="16"/>
        </w:rPr>
        <w:t>11</w:t>
      </w:r>
      <w:r>
        <w:rPr>
          <w:sz w:val="16"/>
          <w:szCs w:val="16"/>
        </w:rPr>
        <w:t>-20</w:t>
      </w:r>
      <w:r w:rsidR="005350A5">
        <w:rPr>
          <w:sz w:val="16"/>
          <w:szCs w:val="16"/>
        </w:rPr>
        <w:t>2</w:t>
      </w:r>
      <w:r>
        <w:rPr>
          <w:sz w:val="16"/>
          <w:szCs w:val="16"/>
        </w:rPr>
        <w:t xml:space="preserve">1 en BEP (Barriles Equivalentes de Petróleo) / USD miles. Se hizo </w:t>
      </w:r>
      <w:r w:rsidR="005350A5">
        <w:rPr>
          <w:sz w:val="16"/>
          <w:szCs w:val="16"/>
        </w:rPr>
        <w:t>l</w:t>
      </w:r>
      <w:r>
        <w:rPr>
          <w:sz w:val="16"/>
          <w:szCs w:val="16"/>
        </w:rPr>
        <w:t xml:space="preserve">a </w:t>
      </w:r>
      <w:r w:rsidR="005350A5">
        <w:rPr>
          <w:sz w:val="16"/>
          <w:szCs w:val="16"/>
        </w:rPr>
        <w:t>transforma</w:t>
      </w:r>
      <w:r>
        <w:rPr>
          <w:sz w:val="16"/>
          <w:szCs w:val="16"/>
        </w:rPr>
        <w:t xml:space="preserve">ción </w:t>
      </w:r>
      <w:r w:rsidR="005350A5">
        <w:rPr>
          <w:sz w:val="16"/>
          <w:szCs w:val="16"/>
        </w:rPr>
        <w:t>a MJ/US$</w:t>
      </w:r>
      <w:r>
        <w:rPr>
          <w:sz w:val="16"/>
          <w:szCs w:val="16"/>
        </w:rPr>
        <w:t xml:space="preserve">, obteniéndose el resultado mostrado. </w:t>
      </w:r>
      <w:sdt>
        <w:sdtPr>
          <w:rPr>
            <w:sz w:val="16"/>
            <w:szCs w:val="16"/>
          </w:rPr>
          <w:id w:val="169231425"/>
          <w:citation/>
        </w:sdtPr>
        <w:sdtEndPr/>
        <w:sdtContent>
          <w:r w:rsidRPr="005C20A7">
            <w:rPr>
              <w:sz w:val="16"/>
              <w:szCs w:val="16"/>
            </w:rPr>
            <w:fldChar w:fldCharType="begin"/>
          </w:r>
          <w:r w:rsidR="005350A5">
            <w:rPr>
              <w:sz w:val="16"/>
              <w:szCs w:val="16"/>
            </w:rPr>
            <w:instrText xml:space="preserve">CITATION MINE22 \l 20490 </w:instrText>
          </w:r>
          <w:r w:rsidRPr="005C20A7">
            <w:rPr>
              <w:sz w:val="16"/>
              <w:szCs w:val="16"/>
            </w:rPr>
            <w:fldChar w:fldCharType="separate"/>
          </w:r>
          <w:r w:rsidR="000A66AF" w:rsidRPr="000A66AF">
            <w:rPr>
              <w:noProof/>
              <w:sz w:val="16"/>
              <w:szCs w:val="16"/>
            </w:rPr>
            <w:t>(Ministerio de Energía y Minas, 2022)</w:t>
          </w:r>
          <w:r w:rsidRPr="005C20A7">
            <w:rPr>
              <w:sz w:val="16"/>
              <w:szCs w:val="16"/>
            </w:rPr>
            <w:fldChar w:fldCharType="end"/>
          </w:r>
        </w:sdtContent>
      </w:sdt>
      <w:r>
        <w:rPr>
          <w:sz w:val="16"/>
          <w:szCs w:val="16"/>
        </w:rPr>
        <w:t>.</w:t>
      </w:r>
    </w:p>
  </w:footnote>
  <w:footnote w:id="10">
    <w:p w14:paraId="53C04BF4" w14:textId="0029D5B4" w:rsidR="00EE29C2" w:rsidRPr="0043759C" w:rsidRDefault="00EE29C2" w:rsidP="00646F55">
      <w:pPr>
        <w:pStyle w:val="Textonotapie"/>
        <w:jc w:val="both"/>
        <w:rPr>
          <w:lang w:val="es-PR"/>
        </w:rPr>
      </w:pPr>
      <w:r>
        <w:rPr>
          <w:rStyle w:val="Refdenotaalpie"/>
        </w:rPr>
        <w:footnoteRef/>
      </w:r>
      <w:r w:rsidRPr="0043759C">
        <w:rPr>
          <w:sz w:val="16"/>
          <w:szCs w:val="16"/>
        </w:rPr>
        <w:t xml:space="preserve"> </w:t>
      </w:r>
      <w:r w:rsidRPr="0043759C">
        <w:rPr>
          <w:b/>
          <w:bCs/>
          <w:sz w:val="16"/>
          <w:szCs w:val="16"/>
        </w:rPr>
        <w:t>CO</w:t>
      </w:r>
      <w:r w:rsidRPr="0043759C">
        <w:rPr>
          <w:b/>
          <w:bCs/>
          <w:sz w:val="16"/>
          <w:szCs w:val="16"/>
          <w:vertAlign w:val="subscript"/>
        </w:rPr>
        <w:t>2</w:t>
      </w:r>
      <w:r w:rsidRPr="0043759C">
        <w:rPr>
          <w:b/>
          <w:bCs/>
          <w:sz w:val="16"/>
          <w:szCs w:val="16"/>
        </w:rPr>
        <w:t xml:space="preserve">-eq </w:t>
      </w:r>
      <w:r w:rsidRPr="0043759C">
        <w:rPr>
          <w:sz w:val="16"/>
          <w:szCs w:val="16"/>
        </w:rPr>
        <w:t xml:space="preserve">es una unidad simbólica de contaminación </w:t>
      </w:r>
      <w:r w:rsidR="005F45DA">
        <w:rPr>
          <w:sz w:val="16"/>
          <w:szCs w:val="16"/>
        </w:rPr>
        <w:t xml:space="preserve">del aire </w:t>
      </w:r>
      <w:r w:rsidRPr="0043759C">
        <w:rPr>
          <w:sz w:val="16"/>
          <w:szCs w:val="16"/>
        </w:rPr>
        <w:t>que</w:t>
      </w:r>
      <w:r w:rsidR="005F45DA">
        <w:rPr>
          <w:sz w:val="16"/>
          <w:szCs w:val="16"/>
        </w:rPr>
        <w:t xml:space="preserve"> es un ‘proxy’ de</w:t>
      </w:r>
      <w:r w:rsidRPr="0043759C">
        <w:rPr>
          <w:sz w:val="16"/>
          <w:szCs w:val="16"/>
        </w:rPr>
        <w:t>l calor generado en la quema de combustibles fósiles, sea que generen CO</w:t>
      </w:r>
      <w:r w:rsidRPr="0043759C">
        <w:rPr>
          <w:sz w:val="16"/>
          <w:szCs w:val="16"/>
          <w:vertAlign w:val="subscript"/>
        </w:rPr>
        <w:t>2</w:t>
      </w:r>
      <w:r w:rsidRPr="0043759C">
        <w:rPr>
          <w:sz w:val="16"/>
          <w:szCs w:val="16"/>
        </w:rPr>
        <w:t xml:space="preserve"> propiamente u otra sustancia de efecto invernadero cuyo CO</w:t>
      </w:r>
      <w:r w:rsidRPr="0043759C">
        <w:rPr>
          <w:sz w:val="16"/>
          <w:szCs w:val="16"/>
          <w:vertAlign w:val="subscript"/>
        </w:rPr>
        <w:t>2</w:t>
      </w:r>
      <w:r w:rsidRPr="0043759C">
        <w:rPr>
          <w:sz w:val="16"/>
          <w:szCs w:val="16"/>
        </w:rPr>
        <w:t>-eq es directamente proporcional a la relación del poder calorífico de dicha sustancia con respecto al poder calorífico del CO</w:t>
      </w:r>
      <w:r w:rsidRPr="0043759C">
        <w:rPr>
          <w:sz w:val="16"/>
          <w:szCs w:val="16"/>
          <w:vertAlign w:val="subscript"/>
        </w:rPr>
        <w:t>2</w:t>
      </w:r>
      <w:r w:rsidRPr="0043759C">
        <w:rPr>
          <w:sz w:val="16"/>
          <w:szCs w:val="16"/>
        </w:rPr>
        <w:t>.</w:t>
      </w:r>
    </w:p>
  </w:footnote>
  <w:footnote w:id="11">
    <w:p w14:paraId="132EBA91" w14:textId="2C41CC9F" w:rsidR="00EE29C2" w:rsidRPr="00ED749D" w:rsidRDefault="00EE29C2" w:rsidP="00646F55">
      <w:pPr>
        <w:pStyle w:val="Textonotapie"/>
        <w:jc w:val="both"/>
        <w:rPr>
          <w:sz w:val="16"/>
          <w:szCs w:val="16"/>
        </w:rPr>
      </w:pPr>
      <w:r>
        <w:rPr>
          <w:rStyle w:val="Refdenotaalpie"/>
        </w:rPr>
        <w:footnoteRef/>
      </w:r>
      <w:r>
        <w:t xml:space="preserve"> </w:t>
      </w:r>
      <w:r>
        <w:rPr>
          <w:sz w:val="16"/>
          <w:szCs w:val="16"/>
        </w:rPr>
        <w:t xml:space="preserve">El valor publicado por el DANE en su </w:t>
      </w:r>
      <w:r w:rsidRPr="00ED749D">
        <w:rPr>
          <w:b/>
          <w:i/>
          <w:sz w:val="16"/>
          <w:szCs w:val="16"/>
        </w:rPr>
        <w:t xml:space="preserve">Boletín Técnico: </w:t>
      </w:r>
      <w:r>
        <w:rPr>
          <w:b/>
          <w:i/>
          <w:sz w:val="16"/>
          <w:szCs w:val="16"/>
        </w:rPr>
        <w:t>Cuenta ambiental y económica de flujos de materiales – emisiones al aire (2017-2018</w:t>
      </w:r>
      <w:r w:rsidRPr="00ED749D">
        <w:rPr>
          <w:b/>
          <w:i/>
          <w:sz w:val="16"/>
          <w:szCs w:val="16"/>
        </w:rPr>
        <w:t>p)</w:t>
      </w:r>
      <w:r w:rsidRPr="00ED749D">
        <w:rPr>
          <w:sz w:val="16"/>
          <w:szCs w:val="16"/>
        </w:rPr>
        <w:t xml:space="preserve"> </w:t>
      </w:r>
      <w:r>
        <w:rPr>
          <w:sz w:val="16"/>
          <w:szCs w:val="16"/>
        </w:rPr>
        <w:t>da el dato de 0.137 Gg de CO</w:t>
      </w:r>
      <w:r w:rsidRPr="00ED749D">
        <w:rPr>
          <w:sz w:val="16"/>
          <w:szCs w:val="16"/>
          <w:vertAlign w:val="subscript"/>
        </w:rPr>
        <w:t>2</w:t>
      </w:r>
      <w:r>
        <w:rPr>
          <w:sz w:val="16"/>
          <w:szCs w:val="16"/>
        </w:rPr>
        <w:t xml:space="preserve">-eq por miles de millones de pesos colombianos COP de PIB. Se utilizó el tipo de cambio de 2956.43 COP por dólar estadounidense del año 2018 </w:t>
      </w:r>
      <w:sdt>
        <w:sdtPr>
          <w:rPr>
            <w:sz w:val="16"/>
            <w:szCs w:val="16"/>
          </w:rPr>
          <w:id w:val="-1277637162"/>
          <w:citation/>
        </w:sdtPr>
        <w:sdtEndPr/>
        <w:sdtContent>
          <w:r>
            <w:rPr>
              <w:sz w:val="16"/>
              <w:szCs w:val="16"/>
            </w:rPr>
            <w:fldChar w:fldCharType="begin"/>
          </w:r>
          <w:r>
            <w:rPr>
              <w:sz w:val="16"/>
              <w:szCs w:val="16"/>
              <w:lang w:val="es-PR"/>
            </w:rPr>
            <w:instrText xml:space="preserve">CITATION DANEb18 \l 20490 </w:instrText>
          </w:r>
          <w:r>
            <w:rPr>
              <w:sz w:val="16"/>
              <w:szCs w:val="16"/>
            </w:rPr>
            <w:fldChar w:fldCharType="separate"/>
          </w:r>
          <w:r w:rsidR="000A66AF" w:rsidRPr="000A66AF">
            <w:rPr>
              <w:noProof/>
              <w:sz w:val="16"/>
              <w:szCs w:val="16"/>
              <w:lang w:val="es-PR"/>
            </w:rPr>
            <w:t>(DANE, 2018)</w:t>
          </w:r>
          <w:r>
            <w:rPr>
              <w:sz w:val="16"/>
              <w:szCs w:val="16"/>
            </w:rPr>
            <w:fldChar w:fldCharType="end"/>
          </w:r>
        </w:sdtContent>
      </w:sdt>
      <w:r>
        <w:rPr>
          <w:sz w:val="16"/>
          <w:szCs w:val="16"/>
        </w:rPr>
        <w:t xml:space="preserve">. Este documento fue accedido el 12/04/2022 en: </w:t>
      </w:r>
      <w:hyperlink r:id="rId1" w:history="1">
        <w:r w:rsidRPr="00A70FDD">
          <w:rPr>
            <w:rStyle w:val="Hipervnculo"/>
            <w:sz w:val="16"/>
            <w:szCs w:val="16"/>
          </w:rPr>
          <w:t>https://www.dane.gov.co/files/investigaciones/pib/ambientales/cuentas_ambientales/cuenta-ambiental-economica-flujos-materiales/bl-ct-emisiones-al-aire-pyc-combustibles2017-2018p.pdf</w:t>
        </w:r>
      </w:hyperlink>
    </w:p>
  </w:footnote>
  <w:footnote w:id="12">
    <w:p w14:paraId="02B807E0" w14:textId="33EC1496" w:rsidR="00EE29C2" w:rsidRPr="00FB426A" w:rsidRDefault="00EE29C2" w:rsidP="00646F55">
      <w:pPr>
        <w:pStyle w:val="Textonotapie"/>
        <w:jc w:val="both"/>
      </w:pPr>
      <w:r>
        <w:rPr>
          <w:rStyle w:val="Refdenotaalpie"/>
        </w:rPr>
        <w:footnoteRef/>
      </w:r>
      <w:r w:rsidRPr="00FB426A">
        <w:rPr>
          <w:sz w:val="16"/>
        </w:rPr>
        <w:t xml:space="preserve"> </w:t>
      </w:r>
      <w:r>
        <w:rPr>
          <w:sz w:val="16"/>
          <w:szCs w:val="16"/>
        </w:rPr>
        <w:t>Se excluye aguas de captación</w:t>
      </w:r>
      <w:r w:rsidRPr="00FB426A">
        <w:rPr>
          <w:sz w:val="16"/>
          <w:szCs w:val="16"/>
        </w:rPr>
        <w:t xml:space="preserve"> por cambio metodológico</w:t>
      </w:r>
      <w:r>
        <w:rPr>
          <w:sz w:val="16"/>
          <w:szCs w:val="16"/>
        </w:rPr>
        <w:t xml:space="preserve"> en el formulario de la </w:t>
      </w:r>
      <w:r>
        <w:rPr>
          <w:sz w:val="15"/>
          <w:szCs w:val="15"/>
        </w:rPr>
        <w:t>ENESEM 20</w:t>
      </w:r>
      <w:r w:rsidR="003D7D4D">
        <w:rPr>
          <w:sz w:val="15"/>
          <w:szCs w:val="15"/>
        </w:rPr>
        <w:t>2</w:t>
      </w:r>
      <w:r w:rsidR="00EF586A">
        <w:rPr>
          <w:sz w:val="15"/>
          <w:szCs w:val="15"/>
        </w:rPr>
        <w:t>1</w:t>
      </w:r>
      <w:r w:rsidRPr="00FB426A">
        <w:rPr>
          <w:sz w:val="16"/>
          <w:szCs w:val="16"/>
        </w:rPr>
        <w:t>.</w:t>
      </w:r>
    </w:p>
  </w:footnote>
  <w:footnote w:id="13">
    <w:p w14:paraId="6912BC84" w14:textId="77777777" w:rsidR="00EE29C2" w:rsidRPr="00E740CF" w:rsidRDefault="00EE29C2" w:rsidP="00646F55">
      <w:pPr>
        <w:pStyle w:val="Textonotapie"/>
        <w:jc w:val="both"/>
      </w:pPr>
      <w:r>
        <w:rPr>
          <w:rStyle w:val="Refdenotaalpie"/>
        </w:rPr>
        <w:footnoteRef/>
      </w:r>
      <w:r>
        <w:t xml:space="preserve"> </w:t>
      </w:r>
      <w:r>
        <w:rPr>
          <w:sz w:val="16"/>
          <w:szCs w:val="16"/>
        </w:rPr>
        <w:t>D</w:t>
      </w:r>
      <w:r w:rsidRPr="00E740CF">
        <w:rPr>
          <w:sz w:val="16"/>
          <w:szCs w:val="16"/>
        </w:rPr>
        <w:t>ebido a diferencias metodológicas, como la inclusión de aguas de captación en la encuesta colombiana</w:t>
      </w:r>
      <w:r>
        <w:rPr>
          <w:sz w:val="16"/>
          <w:szCs w:val="16"/>
        </w:rPr>
        <w:t>.</w:t>
      </w:r>
      <w:r>
        <w:t xml:space="preserve"> </w:t>
      </w:r>
    </w:p>
  </w:footnote>
  <w:footnote w:id="14">
    <w:p w14:paraId="0ED7113D" w14:textId="2E9D607C" w:rsidR="00EE29C2" w:rsidRPr="00671082" w:rsidRDefault="00EE29C2" w:rsidP="00646F55">
      <w:pPr>
        <w:pStyle w:val="Textonotapie"/>
        <w:jc w:val="both"/>
        <w:rPr>
          <w:lang w:val="es-PR"/>
        </w:rPr>
      </w:pPr>
      <w:r>
        <w:rPr>
          <w:rStyle w:val="Refdenotaalpie"/>
        </w:rPr>
        <w:footnoteRef/>
      </w:r>
      <w:r>
        <w:t xml:space="preserve"> </w:t>
      </w:r>
      <w:r>
        <w:rPr>
          <w:sz w:val="16"/>
          <w:szCs w:val="16"/>
        </w:rPr>
        <w:t xml:space="preserve">El valor publicado por el DANE en su </w:t>
      </w:r>
      <w:r>
        <w:rPr>
          <w:b/>
          <w:i/>
          <w:iCs/>
          <w:sz w:val="16"/>
          <w:szCs w:val="16"/>
        </w:rPr>
        <w:t>Boletín Técnico: Cuenta ambiental y e</w:t>
      </w:r>
      <w:r w:rsidRPr="00036FAC">
        <w:rPr>
          <w:b/>
          <w:i/>
          <w:iCs/>
          <w:sz w:val="16"/>
          <w:szCs w:val="16"/>
        </w:rPr>
        <w:t>conómi</w:t>
      </w:r>
      <w:r>
        <w:rPr>
          <w:b/>
          <w:i/>
          <w:iCs/>
          <w:sz w:val="16"/>
          <w:szCs w:val="16"/>
        </w:rPr>
        <w:t>ca de f</w:t>
      </w:r>
      <w:r w:rsidRPr="00036FAC">
        <w:rPr>
          <w:b/>
          <w:i/>
          <w:iCs/>
          <w:sz w:val="16"/>
          <w:szCs w:val="16"/>
        </w:rPr>
        <w:t>lujo</w:t>
      </w:r>
      <w:r>
        <w:rPr>
          <w:b/>
          <w:i/>
          <w:iCs/>
          <w:sz w:val="16"/>
          <w:szCs w:val="16"/>
        </w:rPr>
        <w:t>s de a</w:t>
      </w:r>
      <w:r w:rsidRPr="00036FAC">
        <w:rPr>
          <w:b/>
          <w:i/>
          <w:iCs/>
          <w:sz w:val="16"/>
          <w:szCs w:val="16"/>
        </w:rPr>
        <w:t>gua (201</w:t>
      </w:r>
      <w:r>
        <w:rPr>
          <w:b/>
          <w:i/>
          <w:iCs/>
          <w:sz w:val="16"/>
          <w:szCs w:val="16"/>
        </w:rPr>
        <w:t>7-2018</w:t>
      </w:r>
      <w:r w:rsidRPr="00036FAC">
        <w:rPr>
          <w:b/>
          <w:i/>
          <w:iCs/>
          <w:sz w:val="16"/>
          <w:szCs w:val="16"/>
        </w:rPr>
        <w:t>p)</w:t>
      </w:r>
      <w:r>
        <w:rPr>
          <w:i/>
          <w:iCs/>
          <w:sz w:val="16"/>
          <w:szCs w:val="16"/>
        </w:rPr>
        <w:t xml:space="preserve"> </w:t>
      </w:r>
      <w:r>
        <w:rPr>
          <w:sz w:val="16"/>
          <w:szCs w:val="16"/>
        </w:rPr>
        <w:t xml:space="preserve">da el dato de 0.24 litros de agua por peso colombiano COP del año 2018 (incluye aguas de captación). El DANE señala que se excluye la actividad de </w:t>
      </w:r>
      <w:r w:rsidRPr="007234E5">
        <w:rPr>
          <w:i/>
          <w:sz w:val="16"/>
          <w:szCs w:val="16"/>
        </w:rPr>
        <w:t>Explotación de minas y canteras</w:t>
      </w:r>
      <w:r>
        <w:rPr>
          <w:sz w:val="16"/>
          <w:szCs w:val="16"/>
        </w:rPr>
        <w:t xml:space="preserve"> de los cálculos. Se utilizó el tipo de cambio de 2956.43 COP por dólar estadounidense del año 2018 </w:t>
      </w:r>
      <w:sdt>
        <w:sdtPr>
          <w:rPr>
            <w:sz w:val="16"/>
            <w:szCs w:val="16"/>
          </w:rPr>
          <w:id w:val="65845315"/>
          <w:citation/>
        </w:sdtPr>
        <w:sdtEndPr/>
        <w:sdtContent>
          <w:r>
            <w:rPr>
              <w:sz w:val="16"/>
              <w:szCs w:val="16"/>
            </w:rPr>
            <w:fldChar w:fldCharType="begin"/>
          </w:r>
          <w:r>
            <w:rPr>
              <w:sz w:val="16"/>
              <w:szCs w:val="16"/>
              <w:lang w:val="es-PR"/>
            </w:rPr>
            <w:instrText xml:space="preserve">CITATION DANEb18 \l 20490 </w:instrText>
          </w:r>
          <w:r>
            <w:rPr>
              <w:sz w:val="16"/>
              <w:szCs w:val="16"/>
            </w:rPr>
            <w:fldChar w:fldCharType="separate"/>
          </w:r>
          <w:r w:rsidR="000A66AF" w:rsidRPr="000A66AF">
            <w:rPr>
              <w:noProof/>
              <w:sz w:val="16"/>
              <w:szCs w:val="16"/>
              <w:lang w:val="es-PR"/>
            </w:rPr>
            <w:t>(DANE, 2018)</w:t>
          </w:r>
          <w:r>
            <w:rPr>
              <w:sz w:val="16"/>
              <w:szCs w:val="16"/>
            </w:rPr>
            <w:fldChar w:fldCharType="end"/>
          </w:r>
        </w:sdtContent>
      </w:sdt>
      <w:r>
        <w:rPr>
          <w:sz w:val="16"/>
          <w:szCs w:val="16"/>
        </w:rPr>
        <w:t>. Este documento fue accedido el 1</w:t>
      </w:r>
      <w:r w:rsidR="00C872CE">
        <w:rPr>
          <w:sz w:val="16"/>
          <w:szCs w:val="16"/>
        </w:rPr>
        <w:t>3</w:t>
      </w:r>
      <w:r>
        <w:rPr>
          <w:sz w:val="16"/>
          <w:szCs w:val="16"/>
        </w:rPr>
        <w:t>/04/202</w:t>
      </w:r>
      <w:r w:rsidR="00C872CE">
        <w:rPr>
          <w:sz w:val="16"/>
          <w:szCs w:val="16"/>
        </w:rPr>
        <w:t>3</w:t>
      </w:r>
      <w:r>
        <w:rPr>
          <w:sz w:val="16"/>
          <w:szCs w:val="16"/>
        </w:rPr>
        <w:t xml:space="preserve"> en URL: </w:t>
      </w:r>
      <w:hyperlink r:id="rId2" w:history="1">
        <w:r>
          <w:rPr>
            <w:rStyle w:val="Hipervnculo"/>
            <w:sz w:val="16"/>
            <w:szCs w:val="16"/>
          </w:rPr>
          <w:t>https://www.dane.gov.co/files/investigaciones/pib/ambientales/cuentas_ambientales/cuenta-del-agua/Boletin-tecnico-cuenta-ambiental-y-economica-del-agua-2018p.pdf</w:t>
        </w:r>
      </w:hyperlink>
    </w:p>
  </w:footnote>
  <w:footnote w:id="15">
    <w:p w14:paraId="4F253ED7" w14:textId="0289CBD4" w:rsidR="00EE29C2" w:rsidRPr="00ED5329" w:rsidRDefault="00EE29C2" w:rsidP="00646F55">
      <w:pPr>
        <w:pStyle w:val="Textonotapie"/>
        <w:jc w:val="both"/>
        <w:rPr>
          <w:lang w:val="es-PR"/>
        </w:rPr>
      </w:pPr>
      <w:r>
        <w:rPr>
          <w:rStyle w:val="Refdenotaalpie"/>
        </w:rPr>
        <w:footnoteRef/>
      </w:r>
      <w:r>
        <w:t xml:space="preserve"> </w:t>
      </w:r>
      <w:r w:rsidRPr="00ED5329">
        <w:rPr>
          <w:sz w:val="16"/>
          <w:szCs w:val="16"/>
        </w:rPr>
        <w:t>No se incluye en este tabulado los datos del año 20</w:t>
      </w:r>
      <w:r w:rsidR="00216DDC">
        <w:rPr>
          <w:sz w:val="16"/>
          <w:szCs w:val="16"/>
        </w:rPr>
        <w:t>20</w:t>
      </w:r>
      <w:r w:rsidRPr="00ED5329">
        <w:rPr>
          <w:sz w:val="16"/>
          <w:szCs w:val="16"/>
        </w:rPr>
        <w:t xml:space="preserve">, debido a que </w:t>
      </w:r>
      <w:r>
        <w:rPr>
          <w:sz w:val="16"/>
          <w:szCs w:val="16"/>
        </w:rPr>
        <w:t>no se generan necesariamente los mismos desechos peligrosos relevantes (en cantidades absolutas) entre los años 20</w:t>
      </w:r>
      <w:r w:rsidR="00216DDC">
        <w:rPr>
          <w:sz w:val="16"/>
          <w:szCs w:val="16"/>
        </w:rPr>
        <w:t>20</w:t>
      </w:r>
      <w:r>
        <w:rPr>
          <w:sz w:val="16"/>
          <w:szCs w:val="16"/>
        </w:rPr>
        <w:t xml:space="preserve"> y 202</w:t>
      </w:r>
      <w:r w:rsidR="00216DDC">
        <w:rPr>
          <w:sz w:val="16"/>
          <w:szCs w:val="16"/>
        </w:rPr>
        <w:t>1</w:t>
      </w:r>
      <w:r>
        <w:rPr>
          <w:sz w:val="16"/>
          <w:szCs w:val="16"/>
        </w:rPr>
        <w:t>. Y si se generan, las cantidades pueden variar ampliamente entre los años 20</w:t>
      </w:r>
      <w:r w:rsidR="00216DDC">
        <w:rPr>
          <w:sz w:val="16"/>
          <w:szCs w:val="16"/>
        </w:rPr>
        <w:t>20</w:t>
      </w:r>
      <w:r>
        <w:rPr>
          <w:sz w:val="16"/>
          <w:szCs w:val="16"/>
        </w:rPr>
        <w:t xml:space="preserve"> y 202</w:t>
      </w:r>
      <w:r w:rsidR="00216DDC">
        <w:rPr>
          <w:sz w:val="16"/>
          <w:szCs w:val="16"/>
        </w:rPr>
        <w:t>1</w:t>
      </w:r>
      <w:r>
        <w:rPr>
          <w:sz w:val="16"/>
          <w:szCs w:val="16"/>
        </w:rPr>
        <w:t xml:space="preserve">. Los resultados para los desechos peligrosos líquidos fueron calculados de forma aproximada, pues se transformaron en unidades de masa asumiendo como factor de conversión: </w:t>
      </w:r>
      <w:r w:rsidRPr="00CD5A06">
        <w:rPr>
          <w:i/>
          <w:sz w:val="16"/>
          <w:szCs w:val="16"/>
        </w:rPr>
        <w:t>1 litro = 1 kg</w:t>
      </w:r>
      <w:r>
        <w:rPr>
          <w:sz w:val="16"/>
          <w:szCs w:val="16"/>
        </w:rPr>
        <w:t>.</w:t>
      </w:r>
    </w:p>
  </w:footnote>
  <w:footnote w:id="16">
    <w:p w14:paraId="62E8A4FB" w14:textId="2328E68F" w:rsidR="00EE29C2" w:rsidRPr="00073B04" w:rsidRDefault="00EE29C2" w:rsidP="00646F55">
      <w:pPr>
        <w:pStyle w:val="Textonotapie"/>
        <w:jc w:val="both"/>
        <w:rPr>
          <w:lang w:val="es-PR"/>
        </w:rPr>
      </w:pPr>
      <w:r>
        <w:rPr>
          <w:rStyle w:val="Refdenotaalpie"/>
        </w:rPr>
        <w:footnoteRef/>
      </w:r>
      <w:r>
        <w:t xml:space="preserve"> </w:t>
      </w:r>
      <w:r w:rsidRPr="00073B04">
        <w:rPr>
          <w:sz w:val="16"/>
          <w:szCs w:val="16"/>
        </w:rPr>
        <w:t>Calculado a partir de la variación nacional 20</w:t>
      </w:r>
      <w:r w:rsidR="00A03499">
        <w:rPr>
          <w:sz w:val="16"/>
          <w:szCs w:val="16"/>
        </w:rPr>
        <w:t>20</w:t>
      </w:r>
      <w:r w:rsidRPr="00073B04">
        <w:rPr>
          <w:sz w:val="16"/>
          <w:szCs w:val="16"/>
        </w:rPr>
        <w:t>-2</w:t>
      </w:r>
      <w:r>
        <w:rPr>
          <w:sz w:val="16"/>
          <w:szCs w:val="16"/>
        </w:rPr>
        <w:t>02</w:t>
      </w:r>
      <w:r w:rsidR="00A03499">
        <w:rPr>
          <w:sz w:val="16"/>
          <w:szCs w:val="16"/>
        </w:rPr>
        <w:t>1</w:t>
      </w:r>
      <w:r>
        <w:rPr>
          <w:sz w:val="16"/>
          <w:szCs w:val="16"/>
        </w:rPr>
        <w:t xml:space="preserve"> de la energía total utilizada (variable altamente correlacionada con el impacto ambiental 202</w:t>
      </w:r>
      <w:r w:rsidR="00A03499">
        <w:rPr>
          <w:sz w:val="16"/>
          <w:szCs w:val="16"/>
        </w:rPr>
        <w:t>1</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AB065" w14:textId="0E6B2FBD" w:rsidR="00EE29C2" w:rsidRDefault="001B7D04">
    <w:pPr>
      <w:pStyle w:val="Encabezado"/>
    </w:pPr>
    <w:r>
      <w:rPr>
        <w:noProof/>
      </w:rPr>
      <w:drawing>
        <wp:anchor distT="0" distB="0" distL="114300" distR="114300" simplePos="0" relativeHeight="251659264" behindDoc="1" locked="0" layoutInCell="1" allowOverlap="1" wp14:anchorId="41130C53" wp14:editId="5B722FAE">
          <wp:simplePos x="0" y="0"/>
          <wp:positionH relativeFrom="page">
            <wp:align>right</wp:align>
          </wp:positionH>
          <wp:positionV relativeFrom="paragraph">
            <wp:posOffset>-465483</wp:posOffset>
          </wp:positionV>
          <wp:extent cx="7688580" cy="10685780"/>
          <wp:effectExtent l="0" t="0" r="7620" b="127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688580" cy="106857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24635"/>
    <w:multiLevelType w:val="hybridMultilevel"/>
    <w:tmpl w:val="33DCEECA"/>
    <w:lvl w:ilvl="0" w:tplc="C3763442">
      <w:start w:val="1"/>
      <w:numFmt w:val="bullet"/>
      <w:lvlText w:val="-"/>
      <w:lvlJc w:val="left"/>
      <w:pPr>
        <w:ind w:left="720" w:hanging="360"/>
      </w:pPr>
      <w:rPr>
        <w:rFonts w:ascii="Century Gothic" w:eastAsiaTheme="minorHAnsi" w:hAnsi="Century Gothic"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1B553535"/>
    <w:multiLevelType w:val="hybridMultilevel"/>
    <w:tmpl w:val="8BE08772"/>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 w15:restartNumberingAfterBreak="0">
    <w:nsid w:val="2105020C"/>
    <w:multiLevelType w:val="hybridMultilevel"/>
    <w:tmpl w:val="226C0B76"/>
    <w:lvl w:ilvl="0" w:tplc="08B085CA">
      <w:start w:val="1"/>
      <w:numFmt w:val="decimal"/>
      <w:lvlText w:val="%1."/>
      <w:lvlJc w:val="left"/>
      <w:pPr>
        <w:ind w:left="720" w:hanging="360"/>
      </w:pPr>
      <w:rPr>
        <w:rFonts w:cs="Calibri" w:hint="default"/>
        <w:b/>
        <w:color w:val="7F7F7F" w:themeColor="text1" w:themeTint="8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23C20387"/>
    <w:multiLevelType w:val="hybridMultilevel"/>
    <w:tmpl w:val="E1AE72D0"/>
    <w:lvl w:ilvl="0" w:tplc="300A0011">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2CD47159"/>
    <w:multiLevelType w:val="hybridMultilevel"/>
    <w:tmpl w:val="19D6AC6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31D041AD"/>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77129DC"/>
    <w:multiLevelType w:val="hybridMultilevel"/>
    <w:tmpl w:val="C1B492E0"/>
    <w:lvl w:ilvl="0" w:tplc="3B3495C8">
      <w:start w:val="1"/>
      <w:numFmt w:val="decimal"/>
      <w:pStyle w:val="Textoprincipal-Numerado"/>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DBA1BE7"/>
    <w:multiLevelType w:val="hybridMultilevel"/>
    <w:tmpl w:val="A1EAF78A"/>
    <w:lvl w:ilvl="0" w:tplc="218A0418">
      <w:start w:val="1"/>
      <w:numFmt w:val="decimal"/>
      <w:lvlText w:val="%1."/>
      <w:lvlJc w:val="left"/>
      <w:pPr>
        <w:ind w:left="360" w:hanging="360"/>
      </w:pPr>
      <w:rPr>
        <w:color w:val="767171" w:themeColor="background2" w:themeShade="80"/>
      </w:rPr>
    </w:lvl>
    <w:lvl w:ilvl="1" w:tplc="500A0019" w:tentative="1">
      <w:start w:val="1"/>
      <w:numFmt w:val="lowerLetter"/>
      <w:lvlText w:val="%2."/>
      <w:lvlJc w:val="left"/>
      <w:pPr>
        <w:ind w:left="1080" w:hanging="360"/>
      </w:pPr>
    </w:lvl>
    <w:lvl w:ilvl="2" w:tplc="500A001B" w:tentative="1">
      <w:start w:val="1"/>
      <w:numFmt w:val="lowerRoman"/>
      <w:lvlText w:val="%3."/>
      <w:lvlJc w:val="right"/>
      <w:pPr>
        <w:ind w:left="1800" w:hanging="180"/>
      </w:pPr>
    </w:lvl>
    <w:lvl w:ilvl="3" w:tplc="500A000F" w:tentative="1">
      <w:start w:val="1"/>
      <w:numFmt w:val="decimal"/>
      <w:lvlText w:val="%4."/>
      <w:lvlJc w:val="left"/>
      <w:pPr>
        <w:ind w:left="2520" w:hanging="360"/>
      </w:pPr>
    </w:lvl>
    <w:lvl w:ilvl="4" w:tplc="500A0019" w:tentative="1">
      <w:start w:val="1"/>
      <w:numFmt w:val="lowerLetter"/>
      <w:lvlText w:val="%5."/>
      <w:lvlJc w:val="left"/>
      <w:pPr>
        <w:ind w:left="3240" w:hanging="360"/>
      </w:pPr>
    </w:lvl>
    <w:lvl w:ilvl="5" w:tplc="500A001B" w:tentative="1">
      <w:start w:val="1"/>
      <w:numFmt w:val="lowerRoman"/>
      <w:lvlText w:val="%6."/>
      <w:lvlJc w:val="right"/>
      <w:pPr>
        <w:ind w:left="3960" w:hanging="180"/>
      </w:pPr>
    </w:lvl>
    <w:lvl w:ilvl="6" w:tplc="500A000F" w:tentative="1">
      <w:start w:val="1"/>
      <w:numFmt w:val="decimal"/>
      <w:lvlText w:val="%7."/>
      <w:lvlJc w:val="left"/>
      <w:pPr>
        <w:ind w:left="4680" w:hanging="360"/>
      </w:pPr>
    </w:lvl>
    <w:lvl w:ilvl="7" w:tplc="500A0019" w:tentative="1">
      <w:start w:val="1"/>
      <w:numFmt w:val="lowerLetter"/>
      <w:lvlText w:val="%8."/>
      <w:lvlJc w:val="left"/>
      <w:pPr>
        <w:ind w:left="5400" w:hanging="360"/>
      </w:pPr>
    </w:lvl>
    <w:lvl w:ilvl="8" w:tplc="500A001B" w:tentative="1">
      <w:start w:val="1"/>
      <w:numFmt w:val="lowerRoman"/>
      <w:lvlText w:val="%9."/>
      <w:lvlJc w:val="right"/>
      <w:pPr>
        <w:ind w:left="6120" w:hanging="180"/>
      </w:pPr>
    </w:lvl>
  </w:abstractNum>
  <w:abstractNum w:abstractNumId="8" w15:restartNumberingAfterBreak="0">
    <w:nsid w:val="56EB2AA6"/>
    <w:multiLevelType w:val="hybridMultilevel"/>
    <w:tmpl w:val="C0B8F896"/>
    <w:lvl w:ilvl="0" w:tplc="500A0005">
      <w:start w:val="1"/>
      <w:numFmt w:val="bullet"/>
      <w:lvlText w:val=""/>
      <w:lvlJc w:val="left"/>
      <w:pPr>
        <w:ind w:left="360" w:hanging="360"/>
      </w:pPr>
      <w:rPr>
        <w:rFonts w:ascii="Wingdings" w:hAnsi="Wingdings" w:hint="default"/>
      </w:rPr>
    </w:lvl>
    <w:lvl w:ilvl="1" w:tplc="500A0003" w:tentative="1">
      <w:start w:val="1"/>
      <w:numFmt w:val="bullet"/>
      <w:lvlText w:val="o"/>
      <w:lvlJc w:val="left"/>
      <w:pPr>
        <w:ind w:left="1080" w:hanging="360"/>
      </w:pPr>
      <w:rPr>
        <w:rFonts w:ascii="Courier New" w:hAnsi="Courier New" w:cs="Courier New" w:hint="default"/>
      </w:rPr>
    </w:lvl>
    <w:lvl w:ilvl="2" w:tplc="500A0005" w:tentative="1">
      <w:start w:val="1"/>
      <w:numFmt w:val="bullet"/>
      <w:lvlText w:val=""/>
      <w:lvlJc w:val="left"/>
      <w:pPr>
        <w:ind w:left="1800" w:hanging="360"/>
      </w:pPr>
      <w:rPr>
        <w:rFonts w:ascii="Wingdings" w:hAnsi="Wingdings" w:hint="default"/>
      </w:rPr>
    </w:lvl>
    <w:lvl w:ilvl="3" w:tplc="500A0001" w:tentative="1">
      <w:start w:val="1"/>
      <w:numFmt w:val="bullet"/>
      <w:lvlText w:val=""/>
      <w:lvlJc w:val="left"/>
      <w:pPr>
        <w:ind w:left="2520" w:hanging="360"/>
      </w:pPr>
      <w:rPr>
        <w:rFonts w:ascii="Symbol" w:hAnsi="Symbol" w:hint="default"/>
      </w:rPr>
    </w:lvl>
    <w:lvl w:ilvl="4" w:tplc="500A0003" w:tentative="1">
      <w:start w:val="1"/>
      <w:numFmt w:val="bullet"/>
      <w:lvlText w:val="o"/>
      <w:lvlJc w:val="left"/>
      <w:pPr>
        <w:ind w:left="3240" w:hanging="360"/>
      </w:pPr>
      <w:rPr>
        <w:rFonts w:ascii="Courier New" w:hAnsi="Courier New" w:cs="Courier New" w:hint="default"/>
      </w:rPr>
    </w:lvl>
    <w:lvl w:ilvl="5" w:tplc="500A0005" w:tentative="1">
      <w:start w:val="1"/>
      <w:numFmt w:val="bullet"/>
      <w:lvlText w:val=""/>
      <w:lvlJc w:val="left"/>
      <w:pPr>
        <w:ind w:left="3960" w:hanging="360"/>
      </w:pPr>
      <w:rPr>
        <w:rFonts w:ascii="Wingdings" w:hAnsi="Wingdings" w:hint="default"/>
      </w:rPr>
    </w:lvl>
    <w:lvl w:ilvl="6" w:tplc="500A0001" w:tentative="1">
      <w:start w:val="1"/>
      <w:numFmt w:val="bullet"/>
      <w:lvlText w:val=""/>
      <w:lvlJc w:val="left"/>
      <w:pPr>
        <w:ind w:left="4680" w:hanging="360"/>
      </w:pPr>
      <w:rPr>
        <w:rFonts w:ascii="Symbol" w:hAnsi="Symbol" w:hint="default"/>
      </w:rPr>
    </w:lvl>
    <w:lvl w:ilvl="7" w:tplc="500A0003" w:tentative="1">
      <w:start w:val="1"/>
      <w:numFmt w:val="bullet"/>
      <w:lvlText w:val="o"/>
      <w:lvlJc w:val="left"/>
      <w:pPr>
        <w:ind w:left="5400" w:hanging="360"/>
      </w:pPr>
      <w:rPr>
        <w:rFonts w:ascii="Courier New" w:hAnsi="Courier New" w:cs="Courier New" w:hint="default"/>
      </w:rPr>
    </w:lvl>
    <w:lvl w:ilvl="8" w:tplc="500A0005" w:tentative="1">
      <w:start w:val="1"/>
      <w:numFmt w:val="bullet"/>
      <w:lvlText w:val=""/>
      <w:lvlJc w:val="left"/>
      <w:pPr>
        <w:ind w:left="6120" w:hanging="360"/>
      </w:pPr>
      <w:rPr>
        <w:rFonts w:ascii="Wingdings" w:hAnsi="Wingdings" w:hint="default"/>
      </w:rPr>
    </w:lvl>
  </w:abstractNum>
  <w:abstractNum w:abstractNumId="9" w15:restartNumberingAfterBreak="0">
    <w:nsid w:val="5E5A7AFE"/>
    <w:multiLevelType w:val="hybridMultilevel"/>
    <w:tmpl w:val="476C4D80"/>
    <w:lvl w:ilvl="0" w:tplc="500A0001">
      <w:start w:val="1"/>
      <w:numFmt w:val="bullet"/>
      <w:lvlText w:val=""/>
      <w:lvlJc w:val="left"/>
      <w:pPr>
        <w:ind w:left="360" w:hanging="360"/>
      </w:pPr>
      <w:rPr>
        <w:rFonts w:ascii="Symbol" w:hAnsi="Symbol" w:hint="default"/>
      </w:rPr>
    </w:lvl>
    <w:lvl w:ilvl="1" w:tplc="500A0003" w:tentative="1">
      <w:start w:val="1"/>
      <w:numFmt w:val="bullet"/>
      <w:lvlText w:val="o"/>
      <w:lvlJc w:val="left"/>
      <w:pPr>
        <w:ind w:left="1080" w:hanging="360"/>
      </w:pPr>
      <w:rPr>
        <w:rFonts w:ascii="Courier New" w:hAnsi="Courier New" w:cs="Courier New" w:hint="default"/>
      </w:rPr>
    </w:lvl>
    <w:lvl w:ilvl="2" w:tplc="500A0005" w:tentative="1">
      <w:start w:val="1"/>
      <w:numFmt w:val="bullet"/>
      <w:lvlText w:val=""/>
      <w:lvlJc w:val="left"/>
      <w:pPr>
        <w:ind w:left="1800" w:hanging="360"/>
      </w:pPr>
      <w:rPr>
        <w:rFonts w:ascii="Wingdings" w:hAnsi="Wingdings" w:hint="default"/>
      </w:rPr>
    </w:lvl>
    <w:lvl w:ilvl="3" w:tplc="500A0001" w:tentative="1">
      <w:start w:val="1"/>
      <w:numFmt w:val="bullet"/>
      <w:lvlText w:val=""/>
      <w:lvlJc w:val="left"/>
      <w:pPr>
        <w:ind w:left="2520" w:hanging="360"/>
      </w:pPr>
      <w:rPr>
        <w:rFonts w:ascii="Symbol" w:hAnsi="Symbol" w:hint="default"/>
      </w:rPr>
    </w:lvl>
    <w:lvl w:ilvl="4" w:tplc="500A0003" w:tentative="1">
      <w:start w:val="1"/>
      <w:numFmt w:val="bullet"/>
      <w:lvlText w:val="o"/>
      <w:lvlJc w:val="left"/>
      <w:pPr>
        <w:ind w:left="3240" w:hanging="360"/>
      </w:pPr>
      <w:rPr>
        <w:rFonts w:ascii="Courier New" w:hAnsi="Courier New" w:cs="Courier New" w:hint="default"/>
      </w:rPr>
    </w:lvl>
    <w:lvl w:ilvl="5" w:tplc="500A0005" w:tentative="1">
      <w:start w:val="1"/>
      <w:numFmt w:val="bullet"/>
      <w:lvlText w:val=""/>
      <w:lvlJc w:val="left"/>
      <w:pPr>
        <w:ind w:left="3960" w:hanging="360"/>
      </w:pPr>
      <w:rPr>
        <w:rFonts w:ascii="Wingdings" w:hAnsi="Wingdings" w:hint="default"/>
      </w:rPr>
    </w:lvl>
    <w:lvl w:ilvl="6" w:tplc="500A0001" w:tentative="1">
      <w:start w:val="1"/>
      <w:numFmt w:val="bullet"/>
      <w:lvlText w:val=""/>
      <w:lvlJc w:val="left"/>
      <w:pPr>
        <w:ind w:left="4680" w:hanging="360"/>
      </w:pPr>
      <w:rPr>
        <w:rFonts w:ascii="Symbol" w:hAnsi="Symbol" w:hint="default"/>
      </w:rPr>
    </w:lvl>
    <w:lvl w:ilvl="7" w:tplc="500A0003" w:tentative="1">
      <w:start w:val="1"/>
      <w:numFmt w:val="bullet"/>
      <w:lvlText w:val="o"/>
      <w:lvlJc w:val="left"/>
      <w:pPr>
        <w:ind w:left="5400" w:hanging="360"/>
      </w:pPr>
      <w:rPr>
        <w:rFonts w:ascii="Courier New" w:hAnsi="Courier New" w:cs="Courier New" w:hint="default"/>
      </w:rPr>
    </w:lvl>
    <w:lvl w:ilvl="8" w:tplc="500A0005" w:tentative="1">
      <w:start w:val="1"/>
      <w:numFmt w:val="bullet"/>
      <w:lvlText w:val=""/>
      <w:lvlJc w:val="left"/>
      <w:pPr>
        <w:ind w:left="6120" w:hanging="360"/>
      </w:pPr>
      <w:rPr>
        <w:rFonts w:ascii="Wingdings" w:hAnsi="Wingdings" w:hint="default"/>
      </w:rPr>
    </w:lvl>
  </w:abstractNum>
  <w:abstractNum w:abstractNumId="10" w15:restartNumberingAfterBreak="0">
    <w:nsid w:val="6A2E2D3E"/>
    <w:multiLevelType w:val="hybridMultilevel"/>
    <w:tmpl w:val="C74C2C3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6D396E75"/>
    <w:multiLevelType w:val="hybridMultilevel"/>
    <w:tmpl w:val="81D44862"/>
    <w:lvl w:ilvl="0" w:tplc="500A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0"/>
  </w:num>
  <w:num w:numId="6">
    <w:abstractNumId w:val="10"/>
  </w:num>
  <w:num w:numId="7">
    <w:abstractNumId w:val="4"/>
  </w:num>
  <w:num w:numId="8">
    <w:abstractNumId w:val="1"/>
  </w:num>
  <w:num w:numId="9">
    <w:abstractNumId w:val="11"/>
  </w:num>
  <w:num w:numId="10">
    <w:abstractNumId w:val="9"/>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59A"/>
    <w:rsid w:val="00000B44"/>
    <w:rsid w:val="000126B3"/>
    <w:rsid w:val="00016076"/>
    <w:rsid w:val="000213E7"/>
    <w:rsid w:val="00021E0A"/>
    <w:rsid w:val="0002422C"/>
    <w:rsid w:val="000314FF"/>
    <w:rsid w:val="00031841"/>
    <w:rsid w:val="00031D01"/>
    <w:rsid w:val="0003290D"/>
    <w:rsid w:val="00032EFD"/>
    <w:rsid w:val="000330D5"/>
    <w:rsid w:val="000345C9"/>
    <w:rsid w:val="00034F6D"/>
    <w:rsid w:val="00042188"/>
    <w:rsid w:val="000427D8"/>
    <w:rsid w:val="00043672"/>
    <w:rsid w:val="000469A9"/>
    <w:rsid w:val="0005023C"/>
    <w:rsid w:val="0005753B"/>
    <w:rsid w:val="000600E2"/>
    <w:rsid w:val="00070EEC"/>
    <w:rsid w:val="00074958"/>
    <w:rsid w:val="000758D3"/>
    <w:rsid w:val="0007659A"/>
    <w:rsid w:val="000772BB"/>
    <w:rsid w:val="00077E88"/>
    <w:rsid w:val="000824AC"/>
    <w:rsid w:val="0009699B"/>
    <w:rsid w:val="0009777B"/>
    <w:rsid w:val="00097F3D"/>
    <w:rsid w:val="000A0C79"/>
    <w:rsid w:val="000A455C"/>
    <w:rsid w:val="000A66AF"/>
    <w:rsid w:val="000B1C0F"/>
    <w:rsid w:val="000B332A"/>
    <w:rsid w:val="000C03FC"/>
    <w:rsid w:val="000C1817"/>
    <w:rsid w:val="000C3CB4"/>
    <w:rsid w:val="000C47AF"/>
    <w:rsid w:val="000D5D24"/>
    <w:rsid w:val="000D670F"/>
    <w:rsid w:val="000D68BE"/>
    <w:rsid w:val="000E1945"/>
    <w:rsid w:val="000F024D"/>
    <w:rsid w:val="000F51F3"/>
    <w:rsid w:val="000F5FC7"/>
    <w:rsid w:val="00106378"/>
    <w:rsid w:val="00107B31"/>
    <w:rsid w:val="00110509"/>
    <w:rsid w:val="00111BE8"/>
    <w:rsid w:val="00112FBE"/>
    <w:rsid w:val="00113023"/>
    <w:rsid w:val="00116434"/>
    <w:rsid w:val="00121B77"/>
    <w:rsid w:val="00122C6B"/>
    <w:rsid w:val="00123980"/>
    <w:rsid w:val="0012411F"/>
    <w:rsid w:val="0013009F"/>
    <w:rsid w:val="00134B0B"/>
    <w:rsid w:val="00137DD9"/>
    <w:rsid w:val="00140827"/>
    <w:rsid w:val="001416E8"/>
    <w:rsid w:val="00143277"/>
    <w:rsid w:val="00146F5C"/>
    <w:rsid w:val="00151994"/>
    <w:rsid w:val="001521F0"/>
    <w:rsid w:val="00157A37"/>
    <w:rsid w:val="00160090"/>
    <w:rsid w:val="00160973"/>
    <w:rsid w:val="001712A2"/>
    <w:rsid w:val="00172F03"/>
    <w:rsid w:val="001824E0"/>
    <w:rsid w:val="00182B52"/>
    <w:rsid w:val="0018432E"/>
    <w:rsid w:val="00184C96"/>
    <w:rsid w:val="00193CA8"/>
    <w:rsid w:val="001A088E"/>
    <w:rsid w:val="001B0A20"/>
    <w:rsid w:val="001B187F"/>
    <w:rsid w:val="001B5EFE"/>
    <w:rsid w:val="001B7D04"/>
    <w:rsid w:val="001C01D4"/>
    <w:rsid w:val="001C5B82"/>
    <w:rsid w:val="001D1439"/>
    <w:rsid w:val="001D55EB"/>
    <w:rsid w:val="001D57A1"/>
    <w:rsid w:val="001D6251"/>
    <w:rsid w:val="001E43C9"/>
    <w:rsid w:val="001E490A"/>
    <w:rsid w:val="001F2555"/>
    <w:rsid w:val="00206350"/>
    <w:rsid w:val="00211137"/>
    <w:rsid w:val="002118CC"/>
    <w:rsid w:val="00211F3E"/>
    <w:rsid w:val="00215429"/>
    <w:rsid w:val="00216C86"/>
    <w:rsid w:val="00216DDC"/>
    <w:rsid w:val="00226A62"/>
    <w:rsid w:val="002309F0"/>
    <w:rsid w:val="00240556"/>
    <w:rsid w:val="00252897"/>
    <w:rsid w:val="00260F72"/>
    <w:rsid w:val="002648A9"/>
    <w:rsid w:val="00265B49"/>
    <w:rsid w:val="00266C0C"/>
    <w:rsid w:val="002718BE"/>
    <w:rsid w:val="0027514C"/>
    <w:rsid w:val="002801FB"/>
    <w:rsid w:val="00281EDF"/>
    <w:rsid w:val="0028218F"/>
    <w:rsid w:val="0028316A"/>
    <w:rsid w:val="002A4469"/>
    <w:rsid w:val="002A4CA5"/>
    <w:rsid w:val="002B0DFB"/>
    <w:rsid w:val="002B1CA6"/>
    <w:rsid w:val="002B53F8"/>
    <w:rsid w:val="002C42E4"/>
    <w:rsid w:val="002C671D"/>
    <w:rsid w:val="002C73A2"/>
    <w:rsid w:val="002D195A"/>
    <w:rsid w:val="002D4D7F"/>
    <w:rsid w:val="002E3820"/>
    <w:rsid w:val="002E664E"/>
    <w:rsid w:val="002F781B"/>
    <w:rsid w:val="00305DB2"/>
    <w:rsid w:val="00311E94"/>
    <w:rsid w:val="00312243"/>
    <w:rsid w:val="00320F48"/>
    <w:rsid w:val="003218A0"/>
    <w:rsid w:val="00323B9A"/>
    <w:rsid w:val="0032565F"/>
    <w:rsid w:val="00325FD1"/>
    <w:rsid w:val="003306FA"/>
    <w:rsid w:val="003343E4"/>
    <w:rsid w:val="003351D8"/>
    <w:rsid w:val="00335D48"/>
    <w:rsid w:val="0033680E"/>
    <w:rsid w:val="0033724B"/>
    <w:rsid w:val="0034400D"/>
    <w:rsid w:val="0034446F"/>
    <w:rsid w:val="00350C65"/>
    <w:rsid w:val="00353CF3"/>
    <w:rsid w:val="003540AD"/>
    <w:rsid w:val="003576E8"/>
    <w:rsid w:val="00360537"/>
    <w:rsid w:val="00363F4E"/>
    <w:rsid w:val="00366168"/>
    <w:rsid w:val="003719CC"/>
    <w:rsid w:val="003729DA"/>
    <w:rsid w:val="003740DE"/>
    <w:rsid w:val="00380C67"/>
    <w:rsid w:val="003869D3"/>
    <w:rsid w:val="003941E4"/>
    <w:rsid w:val="00394CF3"/>
    <w:rsid w:val="00396D05"/>
    <w:rsid w:val="00397BF4"/>
    <w:rsid w:val="003B4760"/>
    <w:rsid w:val="003B5B47"/>
    <w:rsid w:val="003B78FE"/>
    <w:rsid w:val="003B79ED"/>
    <w:rsid w:val="003C1E25"/>
    <w:rsid w:val="003C7233"/>
    <w:rsid w:val="003C7582"/>
    <w:rsid w:val="003C7978"/>
    <w:rsid w:val="003D054B"/>
    <w:rsid w:val="003D20A1"/>
    <w:rsid w:val="003D2DF4"/>
    <w:rsid w:val="003D2EDE"/>
    <w:rsid w:val="003D72E7"/>
    <w:rsid w:val="003D7D4D"/>
    <w:rsid w:val="003E2102"/>
    <w:rsid w:val="003E4A18"/>
    <w:rsid w:val="003E7A6F"/>
    <w:rsid w:val="003F7184"/>
    <w:rsid w:val="003F7AE9"/>
    <w:rsid w:val="00401D89"/>
    <w:rsid w:val="00402E16"/>
    <w:rsid w:val="00403643"/>
    <w:rsid w:val="004073E8"/>
    <w:rsid w:val="00410B4F"/>
    <w:rsid w:val="0041546E"/>
    <w:rsid w:val="004244DA"/>
    <w:rsid w:val="004273AC"/>
    <w:rsid w:val="00434351"/>
    <w:rsid w:val="004445D4"/>
    <w:rsid w:val="00451923"/>
    <w:rsid w:val="00457132"/>
    <w:rsid w:val="004627E1"/>
    <w:rsid w:val="00467BF3"/>
    <w:rsid w:val="004742C0"/>
    <w:rsid w:val="00476546"/>
    <w:rsid w:val="004776E8"/>
    <w:rsid w:val="00482ECF"/>
    <w:rsid w:val="004843C3"/>
    <w:rsid w:val="00484B71"/>
    <w:rsid w:val="00484EAC"/>
    <w:rsid w:val="004850FF"/>
    <w:rsid w:val="00486090"/>
    <w:rsid w:val="00490027"/>
    <w:rsid w:val="004947A3"/>
    <w:rsid w:val="004954D6"/>
    <w:rsid w:val="004961B0"/>
    <w:rsid w:val="004A589A"/>
    <w:rsid w:val="004A5929"/>
    <w:rsid w:val="004A7F5E"/>
    <w:rsid w:val="004B1758"/>
    <w:rsid w:val="004B63A1"/>
    <w:rsid w:val="004B67B2"/>
    <w:rsid w:val="004C1042"/>
    <w:rsid w:val="004C1EC7"/>
    <w:rsid w:val="004C582A"/>
    <w:rsid w:val="004C6A87"/>
    <w:rsid w:val="004D67B7"/>
    <w:rsid w:val="004E0F14"/>
    <w:rsid w:val="004E51CC"/>
    <w:rsid w:val="004E7719"/>
    <w:rsid w:val="00501D63"/>
    <w:rsid w:val="00511B42"/>
    <w:rsid w:val="0051600F"/>
    <w:rsid w:val="0051777B"/>
    <w:rsid w:val="00521186"/>
    <w:rsid w:val="0052407F"/>
    <w:rsid w:val="005242AA"/>
    <w:rsid w:val="00525757"/>
    <w:rsid w:val="00527B5E"/>
    <w:rsid w:val="00531B19"/>
    <w:rsid w:val="00533743"/>
    <w:rsid w:val="005350A5"/>
    <w:rsid w:val="00540BF1"/>
    <w:rsid w:val="0054366A"/>
    <w:rsid w:val="00545EA1"/>
    <w:rsid w:val="00552EE7"/>
    <w:rsid w:val="005621F7"/>
    <w:rsid w:val="00562864"/>
    <w:rsid w:val="005655E7"/>
    <w:rsid w:val="00567233"/>
    <w:rsid w:val="00580A93"/>
    <w:rsid w:val="005829B1"/>
    <w:rsid w:val="00582DFA"/>
    <w:rsid w:val="00582EAD"/>
    <w:rsid w:val="005908F1"/>
    <w:rsid w:val="00592BEC"/>
    <w:rsid w:val="0059696C"/>
    <w:rsid w:val="005A0921"/>
    <w:rsid w:val="005A5834"/>
    <w:rsid w:val="005B5BEB"/>
    <w:rsid w:val="005C2B09"/>
    <w:rsid w:val="005C47B8"/>
    <w:rsid w:val="005D1329"/>
    <w:rsid w:val="005D32DB"/>
    <w:rsid w:val="005D4F93"/>
    <w:rsid w:val="005D5270"/>
    <w:rsid w:val="005D53D9"/>
    <w:rsid w:val="005D5DE4"/>
    <w:rsid w:val="005E03BB"/>
    <w:rsid w:val="005E44C3"/>
    <w:rsid w:val="005E4A13"/>
    <w:rsid w:val="005F1D9F"/>
    <w:rsid w:val="005F3870"/>
    <w:rsid w:val="005F45DA"/>
    <w:rsid w:val="005F59DF"/>
    <w:rsid w:val="005F616F"/>
    <w:rsid w:val="00604CB2"/>
    <w:rsid w:val="006077EE"/>
    <w:rsid w:val="00611BEE"/>
    <w:rsid w:val="0061425D"/>
    <w:rsid w:val="0062277C"/>
    <w:rsid w:val="00625292"/>
    <w:rsid w:val="006272A2"/>
    <w:rsid w:val="0063391D"/>
    <w:rsid w:val="00634F6A"/>
    <w:rsid w:val="00641BB3"/>
    <w:rsid w:val="00646F55"/>
    <w:rsid w:val="00650F10"/>
    <w:rsid w:val="006604CA"/>
    <w:rsid w:val="00661F6B"/>
    <w:rsid w:val="00665EC9"/>
    <w:rsid w:val="00671E87"/>
    <w:rsid w:val="00674BED"/>
    <w:rsid w:val="0068192E"/>
    <w:rsid w:val="00682304"/>
    <w:rsid w:val="00682E5D"/>
    <w:rsid w:val="00687A09"/>
    <w:rsid w:val="00691731"/>
    <w:rsid w:val="00692073"/>
    <w:rsid w:val="00695941"/>
    <w:rsid w:val="006A27E7"/>
    <w:rsid w:val="006A7885"/>
    <w:rsid w:val="006B2C73"/>
    <w:rsid w:val="006B4431"/>
    <w:rsid w:val="006B5041"/>
    <w:rsid w:val="006C0B88"/>
    <w:rsid w:val="006C5AE6"/>
    <w:rsid w:val="006D0561"/>
    <w:rsid w:val="006D0E28"/>
    <w:rsid w:val="006D64FF"/>
    <w:rsid w:val="006D691F"/>
    <w:rsid w:val="006E4829"/>
    <w:rsid w:val="006E7C88"/>
    <w:rsid w:val="006F1A90"/>
    <w:rsid w:val="006F71D2"/>
    <w:rsid w:val="006F78BD"/>
    <w:rsid w:val="007030FD"/>
    <w:rsid w:val="00705E01"/>
    <w:rsid w:val="00711687"/>
    <w:rsid w:val="00716137"/>
    <w:rsid w:val="007223EE"/>
    <w:rsid w:val="00723FAE"/>
    <w:rsid w:val="00724261"/>
    <w:rsid w:val="00724A78"/>
    <w:rsid w:val="00727672"/>
    <w:rsid w:val="00730A7D"/>
    <w:rsid w:val="007343EE"/>
    <w:rsid w:val="00736E78"/>
    <w:rsid w:val="007443F6"/>
    <w:rsid w:val="00754BB8"/>
    <w:rsid w:val="007576A9"/>
    <w:rsid w:val="007632DE"/>
    <w:rsid w:val="00763D3E"/>
    <w:rsid w:val="00764075"/>
    <w:rsid w:val="00765180"/>
    <w:rsid w:val="00780424"/>
    <w:rsid w:val="007864F2"/>
    <w:rsid w:val="00795BF9"/>
    <w:rsid w:val="00796BBB"/>
    <w:rsid w:val="007A4E64"/>
    <w:rsid w:val="007A554A"/>
    <w:rsid w:val="007B1E22"/>
    <w:rsid w:val="007C04EE"/>
    <w:rsid w:val="007C172F"/>
    <w:rsid w:val="007D6DB0"/>
    <w:rsid w:val="007E1953"/>
    <w:rsid w:val="007E3C14"/>
    <w:rsid w:val="007E4115"/>
    <w:rsid w:val="007E56FF"/>
    <w:rsid w:val="007E584D"/>
    <w:rsid w:val="007E5E63"/>
    <w:rsid w:val="007F1775"/>
    <w:rsid w:val="00801A55"/>
    <w:rsid w:val="00804517"/>
    <w:rsid w:val="00806240"/>
    <w:rsid w:val="0081532A"/>
    <w:rsid w:val="008177F0"/>
    <w:rsid w:val="008224EB"/>
    <w:rsid w:val="00824AB3"/>
    <w:rsid w:val="00826E44"/>
    <w:rsid w:val="00832756"/>
    <w:rsid w:val="00834C31"/>
    <w:rsid w:val="008358A9"/>
    <w:rsid w:val="0083738A"/>
    <w:rsid w:val="0084395D"/>
    <w:rsid w:val="0084439B"/>
    <w:rsid w:val="008514B8"/>
    <w:rsid w:val="00851F9B"/>
    <w:rsid w:val="0085384B"/>
    <w:rsid w:val="00856BBA"/>
    <w:rsid w:val="0085776E"/>
    <w:rsid w:val="0086192F"/>
    <w:rsid w:val="00870600"/>
    <w:rsid w:val="0087229C"/>
    <w:rsid w:val="00872B2E"/>
    <w:rsid w:val="0087641F"/>
    <w:rsid w:val="00876D03"/>
    <w:rsid w:val="008823F6"/>
    <w:rsid w:val="00883B7F"/>
    <w:rsid w:val="00885DFA"/>
    <w:rsid w:val="008958B2"/>
    <w:rsid w:val="00897F7F"/>
    <w:rsid w:val="008A0FA3"/>
    <w:rsid w:val="008B110B"/>
    <w:rsid w:val="008B5DDC"/>
    <w:rsid w:val="008C4FB9"/>
    <w:rsid w:val="008E1172"/>
    <w:rsid w:val="008F05DC"/>
    <w:rsid w:val="008F0EB8"/>
    <w:rsid w:val="008F18BF"/>
    <w:rsid w:val="008F1B1F"/>
    <w:rsid w:val="008F4FCC"/>
    <w:rsid w:val="008F4FFB"/>
    <w:rsid w:val="008F7F6D"/>
    <w:rsid w:val="009125E3"/>
    <w:rsid w:val="009140F7"/>
    <w:rsid w:val="00915EB7"/>
    <w:rsid w:val="0091664D"/>
    <w:rsid w:val="0092758E"/>
    <w:rsid w:val="0093235B"/>
    <w:rsid w:val="0093577E"/>
    <w:rsid w:val="009439E5"/>
    <w:rsid w:val="0094597B"/>
    <w:rsid w:val="0095030B"/>
    <w:rsid w:val="00956F1C"/>
    <w:rsid w:val="009629EB"/>
    <w:rsid w:val="00963316"/>
    <w:rsid w:val="009711F8"/>
    <w:rsid w:val="00971E72"/>
    <w:rsid w:val="00976199"/>
    <w:rsid w:val="00985979"/>
    <w:rsid w:val="009A2E4A"/>
    <w:rsid w:val="009A5AEA"/>
    <w:rsid w:val="009B2B05"/>
    <w:rsid w:val="009B6DE2"/>
    <w:rsid w:val="009B7882"/>
    <w:rsid w:val="009C0291"/>
    <w:rsid w:val="009C20DE"/>
    <w:rsid w:val="009C3698"/>
    <w:rsid w:val="009C52CA"/>
    <w:rsid w:val="009D51C9"/>
    <w:rsid w:val="009D6A2F"/>
    <w:rsid w:val="009E0C8A"/>
    <w:rsid w:val="009E3124"/>
    <w:rsid w:val="009E3395"/>
    <w:rsid w:val="009F05CA"/>
    <w:rsid w:val="009F16E4"/>
    <w:rsid w:val="009F202B"/>
    <w:rsid w:val="009F581E"/>
    <w:rsid w:val="009F7715"/>
    <w:rsid w:val="00A0183C"/>
    <w:rsid w:val="00A01EFF"/>
    <w:rsid w:val="00A03499"/>
    <w:rsid w:val="00A15A32"/>
    <w:rsid w:val="00A167B8"/>
    <w:rsid w:val="00A320BD"/>
    <w:rsid w:val="00A32D88"/>
    <w:rsid w:val="00A32EC9"/>
    <w:rsid w:val="00A33792"/>
    <w:rsid w:val="00A339FD"/>
    <w:rsid w:val="00A352DE"/>
    <w:rsid w:val="00A40A71"/>
    <w:rsid w:val="00A522AF"/>
    <w:rsid w:val="00A533A5"/>
    <w:rsid w:val="00A544BE"/>
    <w:rsid w:val="00A555B4"/>
    <w:rsid w:val="00A575C7"/>
    <w:rsid w:val="00A61110"/>
    <w:rsid w:val="00A70425"/>
    <w:rsid w:val="00A70FD3"/>
    <w:rsid w:val="00A80E18"/>
    <w:rsid w:val="00A83D6C"/>
    <w:rsid w:val="00A85A28"/>
    <w:rsid w:val="00A85BA1"/>
    <w:rsid w:val="00AA2709"/>
    <w:rsid w:val="00AA2DFF"/>
    <w:rsid w:val="00AA2F7D"/>
    <w:rsid w:val="00AA36D6"/>
    <w:rsid w:val="00AA6BCF"/>
    <w:rsid w:val="00AB6EFA"/>
    <w:rsid w:val="00AC08E3"/>
    <w:rsid w:val="00AC2890"/>
    <w:rsid w:val="00AC2C63"/>
    <w:rsid w:val="00AC7CC6"/>
    <w:rsid w:val="00AD2415"/>
    <w:rsid w:val="00AD52B2"/>
    <w:rsid w:val="00AE3B69"/>
    <w:rsid w:val="00AF1644"/>
    <w:rsid w:val="00AF1BCC"/>
    <w:rsid w:val="00AF2AAB"/>
    <w:rsid w:val="00AF6FB8"/>
    <w:rsid w:val="00B041B7"/>
    <w:rsid w:val="00B056D3"/>
    <w:rsid w:val="00B06642"/>
    <w:rsid w:val="00B14B0A"/>
    <w:rsid w:val="00B177F8"/>
    <w:rsid w:val="00B22906"/>
    <w:rsid w:val="00B22A19"/>
    <w:rsid w:val="00B235E1"/>
    <w:rsid w:val="00B32F71"/>
    <w:rsid w:val="00B41AAC"/>
    <w:rsid w:val="00B430A4"/>
    <w:rsid w:val="00B518F3"/>
    <w:rsid w:val="00B576C8"/>
    <w:rsid w:val="00B631B5"/>
    <w:rsid w:val="00B6476A"/>
    <w:rsid w:val="00B67D88"/>
    <w:rsid w:val="00B701DF"/>
    <w:rsid w:val="00B7232F"/>
    <w:rsid w:val="00B72D09"/>
    <w:rsid w:val="00B8336F"/>
    <w:rsid w:val="00B8344E"/>
    <w:rsid w:val="00B867B2"/>
    <w:rsid w:val="00B90D09"/>
    <w:rsid w:val="00BA0033"/>
    <w:rsid w:val="00BA0DEA"/>
    <w:rsid w:val="00BA26E3"/>
    <w:rsid w:val="00BA455E"/>
    <w:rsid w:val="00BA4738"/>
    <w:rsid w:val="00BA55E4"/>
    <w:rsid w:val="00BB17A6"/>
    <w:rsid w:val="00BC674F"/>
    <w:rsid w:val="00BD1742"/>
    <w:rsid w:val="00BD1C32"/>
    <w:rsid w:val="00BD5F51"/>
    <w:rsid w:val="00BD79FF"/>
    <w:rsid w:val="00BE0F56"/>
    <w:rsid w:val="00BE11D2"/>
    <w:rsid w:val="00BE6682"/>
    <w:rsid w:val="00BF1108"/>
    <w:rsid w:val="00BF1478"/>
    <w:rsid w:val="00BF5FB2"/>
    <w:rsid w:val="00BF6A56"/>
    <w:rsid w:val="00C11C99"/>
    <w:rsid w:val="00C129D8"/>
    <w:rsid w:val="00C12ABA"/>
    <w:rsid w:val="00C207EE"/>
    <w:rsid w:val="00C252E7"/>
    <w:rsid w:val="00C37401"/>
    <w:rsid w:val="00C377B8"/>
    <w:rsid w:val="00C429E7"/>
    <w:rsid w:val="00C42E65"/>
    <w:rsid w:val="00C43190"/>
    <w:rsid w:val="00C531A1"/>
    <w:rsid w:val="00C57A77"/>
    <w:rsid w:val="00C604EF"/>
    <w:rsid w:val="00C63822"/>
    <w:rsid w:val="00C6451E"/>
    <w:rsid w:val="00C67F94"/>
    <w:rsid w:val="00C75F68"/>
    <w:rsid w:val="00C767D8"/>
    <w:rsid w:val="00C76B5D"/>
    <w:rsid w:val="00C76FDC"/>
    <w:rsid w:val="00C816B4"/>
    <w:rsid w:val="00C8284C"/>
    <w:rsid w:val="00C858C9"/>
    <w:rsid w:val="00C862CC"/>
    <w:rsid w:val="00C872CE"/>
    <w:rsid w:val="00C93DF6"/>
    <w:rsid w:val="00C955E9"/>
    <w:rsid w:val="00CA4972"/>
    <w:rsid w:val="00CA74E3"/>
    <w:rsid w:val="00CB0482"/>
    <w:rsid w:val="00CB2A4B"/>
    <w:rsid w:val="00CC1760"/>
    <w:rsid w:val="00CC7D79"/>
    <w:rsid w:val="00CD5E43"/>
    <w:rsid w:val="00CD6E19"/>
    <w:rsid w:val="00CE3734"/>
    <w:rsid w:val="00CE3D04"/>
    <w:rsid w:val="00CE583B"/>
    <w:rsid w:val="00CE632D"/>
    <w:rsid w:val="00CE65B8"/>
    <w:rsid w:val="00CE67DD"/>
    <w:rsid w:val="00CE6F42"/>
    <w:rsid w:val="00CF6D5A"/>
    <w:rsid w:val="00D05A2D"/>
    <w:rsid w:val="00D117E9"/>
    <w:rsid w:val="00D1208B"/>
    <w:rsid w:val="00D1537D"/>
    <w:rsid w:val="00D17FF7"/>
    <w:rsid w:val="00D234C8"/>
    <w:rsid w:val="00D269ED"/>
    <w:rsid w:val="00D27575"/>
    <w:rsid w:val="00D32262"/>
    <w:rsid w:val="00D34091"/>
    <w:rsid w:val="00D35631"/>
    <w:rsid w:val="00D37163"/>
    <w:rsid w:val="00D43185"/>
    <w:rsid w:val="00D44409"/>
    <w:rsid w:val="00D47973"/>
    <w:rsid w:val="00D57E71"/>
    <w:rsid w:val="00D61B13"/>
    <w:rsid w:val="00D707CF"/>
    <w:rsid w:val="00D711F5"/>
    <w:rsid w:val="00D72553"/>
    <w:rsid w:val="00D7258A"/>
    <w:rsid w:val="00D728A8"/>
    <w:rsid w:val="00D76D88"/>
    <w:rsid w:val="00D80A72"/>
    <w:rsid w:val="00D869F1"/>
    <w:rsid w:val="00D86BE9"/>
    <w:rsid w:val="00D9647F"/>
    <w:rsid w:val="00DA222C"/>
    <w:rsid w:val="00DA51DD"/>
    <w:rsid w:val="00DA63A7"/>
    <w:rsid w:val="00DC3112"/>
    <w:rsid w:val="00DD3BE3"/>
    <w:rsid w:val="00DD5E4F"/>
    <w:rsid w:val="00DE3004"/>
    <w:rsid w:val="00DE55D6"/>
    <w:rsid w:val="00DF1284"/>
    <w:rsid w:val="00E00114"/>
    <w:rsid w:val="00E00193"/>
    <w:rsid w:val="00E025AB"/>
    <w:rsid w:val="00E03004"/>
    <w:rsid w:val="00E050A8"/>
    <w:rsid w:val="00E11D85"/>
    <w:rsid w:val="00E12028"/>
    <w:rsid w:val="00E159E9"/>
    <w:rsid w:val="00E171B6"/>
    <w:rsid w:val="00E219DE"/>
    <w:rsid w:val="00E3050B"/>
    <w:rsid w:val="00E35C77"/>
    <w:rsid w:val="00E37F86"/>
    <w:rsid w:val="00E428BF"/>
    <w:rsid w:val="00E45B85"/>
    <w:rsid w:val="00E50326"/>
    <w:rsid w:val="00E50D68"/>
    <w:rsid w:val="00E628A6"/>
    <w:rsid w:val="00E650D4"/>
    <w:rsid w:val="00E65595"/>
    <w:rsid w:val="00E706FD"/>
    <w:rsid w:val="00E71865"/>
    <w:rsid w:val="00E7200D"/>
    <w:rsid w:val="00E72E02"/>
    <w:rsid w:val="00E779F4"/>
    <w:rsid w:val="00E82712"/>
    <w:rsid w:val="00E828A1"/>
    <w:rsid w:val="00E9255B"/>
    <w:rsid w:val="00E92E6B"/>
    <w:rsid w:val="00E94578"/>
    <w:rsid w:val="00E945EB"/>
    <w:rsid w:val="00E94F8A"/>
    <w:rsid w:val="00E97483"/>
    <w:rsid w:val="00EA3339"/>
    <w:rsid w:val="00EA4737"/>
    <w:rsid w:val="00EA58B3"/>
    <w:rsid w:val="00EB1778"/>
    <w:rsid w:val="00EB1B1F"/>
    <w:rsid w:val="00EB22A8"/>
    <w:rsid w:val="00EB5BD3"/>
    <w:rsid w:val="00EC1B13"/>
    <w:rsid w:val="00EC64D1"/>
    <w:rsid w:val="00ED11A7"/>
    <w:rsid w:val="00ED5733"/>
    <w:rsid w:val="00ED6FA2"/>
    <w:rsid w:val="00EE2514"/>
    <w:rsid w:val="00EE29C2"/>
    <w:rsid w:val="00EE3040"/>
    <w:rsid w:val="00EE6184"/>
    <w:rsid w:val="00EE6861"/>
    <w:rsid w:val="00EF586A"/>
    <w:rsid w:val="00EF7BAA"/>
    <w:rsid w:val="00F0058D"/>
    <w:rsid w:val="00F01B58"/>
    <w:rsid w:val="00F033F3"/>
    <w:rsid w:val="00F04A6F"/>
    <w:rsid w:val="00F0663C"/>
    <w:rsid w:val="00F10627"/>
    <w:rsid w:val="00F1352F"/>
    <w:rsid w:val="00F144B3"/>
    <w:rsid w:val="00F15011"/>
    <w:rsid w:val="00F17C59"/>
    <w:rsid w:val="00F206B4"/>
    <w:rsid w:val="00F216A9"/>
    <w:rsid w:val="00F234E6"/>
    <w:rsid w:val="00F26DF5"/>
    <w:rsid w:val="00F27DFF"/>
    <w:rsid w:val="00F31283"/>
    <w:rsid w:val="00F33F52"/>
    <w:rsid w:val="00F34D26"/>
    <w:rsid w:val="00F35590"/>
    <w:rsid w:val="00F35EA4"/>
    <w:rsid w:val="00F404AB"/>
    <w:rsid w:val="00F44B03"/>
    <w:rsid w:val="00F46426"/>
    <w:rsid w:val="00F4765B"/>
    <w:rsid w:val="00F52832"/>
    <w:rsid w:val="00F52ECC"/>
    <w:rsid w:val="00F56598"/>
    <w:rsid w:val="00F5769C"/>
    <w:rsid w:val="00F607D8"/>
    <w:rsid w:val="00F61FD0"/>
    <w:rsid w:val="00F677DB"/>
    <w:rsid w:val="00F805A4"/>
    <w:rsid w:val="00F835C8"/>
    <w:rsid w:val="00F84D01"/>
    <w:rsid w:val="00F87347"/>
    <w:rsid w:val="00FA3FF0"/>
    <w:rsid w:val="00FB1F73"/>
    <w:rsid w:val="00FB2F91"/>
    <w:rsid w:val="00FB642E"/>
    <w:rsid w:val="00FC09D1"/>
    <w:rsid w:val="00FC0DD5"/>
    <w:rsid w:val="00FC5B43"/>
    <w:rsid w:val="00FC7E9A"/>
    <w:rsid w:val="00FD06CA"/>
    <w:rsid w:val="00FD28DD"/>
    <w:rsid w:val="00FD4216"/>
    <w:rsid w:val="00FD6049"/>
    <w:rsid w:val="00FE3242"/>
    <w:rsid w:val="00FF00FB"/>
    <w:rsid w:val="00FF2144"/>
    <w:rsid w:val="00FF60F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E8745"/>
  <w15:chartTrackingRefBased/>
  <w15:docId w15:val="{BC87590C-C765-5F4B-AEE1-785715AB1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46F55"/>
    <w:pPr>
      <w:keepNext/>
      <w:keepLines/>
      <w:spacing w:before="480"/>
      <w:outlineLvl w:val="0"/>
    </w:pPr>
    <w:rPr>
      <w:rFonts w:asciiTheme="majorHAnsi" w:eastAsiaTheme="majorEastAsia" w:hAnsiTheme="majorHAnsi" w:cstheme="majorBidi"/>
      <w:b/>
      <w:bCs/>
      <w:color w:val="2F5496" w:themeColor="accent1" w:themeShade="BF"/>
      <w:sz w:val="28"/>
      <w:szCs w:val="28"/>
      <w:lang w:val="es-ES" w:eastAsia="es-ES" w:bidi="es-ES"/>
    </w:rPr>
  </w:style>
  <w:style w:type="paragraph" w:styleId="Ttulo2">
    <w:name w:val="heading 2"/>
    <w:basedOn w:val="Normal"/>
    <w:next w:val="Normal"/>
    <w:link w:val="Ttulo2Car"/>
    <w:uiPriority w:val="9"/>
    <w:unhideWhenUsed/>
    <w:qFormat/>
    <w:rsid w:val="00646F55"/>
    <w:pPr>
      <w:keepNext/>
      <w:keepLines/>
      <w:spacing w:before="200" w:line="276" w:lineRule="auto"/>
      <w:jc w:val="both"/>
      <w:outlineLvl w:val="1"/>
    </w:pPr>
    <w:rPr>
      <w:rFonts w:ascii="Arial" w:eastAsiaTheme="majorEastAsia" w:hAnsi="Arial" w:cstheme="majorBidi"/>
      <w:b/>
      <w:bCs/>
      <w:color w:val="4472C4" w:themeColor="accent1"/>
      <w:sz w:val="22"/>
      <w:szCs w:val="26"/>
    </w:rPr>
  </w:style>
  <w:style w:type="paragraph" w:styleId="Ttulo3">
    <w:name w:val="heading 3"/>
    <w:basedOn w:val="Normal"/>
    <w:next w:val="Normal"/>
    <w:link w:val="Ttulo3Car"/>
    <w:unhideWhenUsed/>
    <w:qFormat/>
    <w:rsid w:val="00646F55"/>
    <w:pPr>
      <w:keepNext/>
      <w:keepLines/>
      <w:spacing w:before="200"/>
      <w:outlineLvl w:val="2"/>
    </w:pPr>
    <w:rPr>
      <w:rFonts w:asciiTheme="majorHAnsi" w:eastAsiaTheme="majorEastAsia" w:hAnsiTheme="majorHAnsi" w:cstheme="majorBidi"/>
      <w:b/>
      <w:bCs/>
      <w:color w:val="4472C4" w:themeColor="accent1"/>
      <w:sz w:val="22"/>
      <w:szCs w:val="22"/>
      <w:lang w:val="es-ES" w:eastAsia="es-ES" w:bidi="es-ES"/>
    </w:rPr>
  </w:style>
  <w:style w:type="paragraph" w:styleId="Ttulo4">
    <w:name w:val="heading 4"/>
    <w:basedOn w:val="Normal"/>
    <w:next w:val="Normal"/>
    <w:link w:val="Ttulo4Car"/>
    <w:unhideWhenUsed/>
    <w:qFormat/>
    <w:rsid w:val="00646F55"/>
    <w:pPr>
      <w:keepNext/>
      <w:keepLines/>
      <w:spacing w:before="200"/>
      <w:outlineLvl w:val="3"/>
    </w:pPr>
    <w:rPr>
      <w:rFonts w:asciiTheme="majorHAnsi" w:eastAsiaTheme="majorEastAsia" w:hAnsiTheme="majorHAnsi" w:cstheme="majorBidi"/>
      <w:b/>
      <w:bCs/>
      <w:i/>
      <w:iCs/>
      <w:color w:val="4472C4" w:themeColor="accent1"/>
      <w:sz w:val="22"/>
      <w:szCs w:val="22"/>
      <w:lang w:val="es-ES" w:eastAsia="es-ES" w:bidi="es-ES"/>
    </w:rPr>
  </w:style>
  <w:style w:type="paragraph" w:styleId="Ttulo9">
    <w:name w:val="heading 9"/>
    <w:basedOn w:val="Normal"/>
    <w:next w:val="Normal"/>
    <w:link w:val="Ttulo9Car"/>
    <w:unhideWhenUsed/>
    <w:qFormat/>
    <w:rsid w:val="00646F55"/>
    <w:pPr>
      <w:keepNext/>
      <w:keepLines/>
      <w:spacing w:before="200"/>
      <w:outlineLvl w:val="8"/>
    </w:pPr>
    <w:rPr>
      <w:rFonts w:asciiTheme="majorHAnsi" w:eastAsiaTheme="majorEastAsia" w:hAnsiTheme="majorHAnsi" w:cstheme="majorBidi"/>
      <w:i/>
      <w:iCs/>
      <w:color w:val="404040" w:themeColor="text1" w:themeTint="BF"/>
      <w:sz w:val="20"/>
      <w:szCs w:val="20"/>
      <w:lang w:val="es-ES"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46F55"/>
    <w:rPr>
      <w:rFonts w:asciiTheme="majorHAnsi" w:eastAsiaTheme="majorEastAsia" w:hAnsiTheme="majorHAnsi" w:cstheme="majorBidi"/>
      <w:b/>
      <w:bCs/>
      <w:color w:val="2F5496" w:themeColor="accent1" w:themeShade="BF"/>
      <w:sz w:val="28"/>
      <w:szCs w:val="28"/>
      <w:lang w:val="es-ES" w:eastAsia="es-ES" w:bidi="es-ES"/>
    </w:rPr>
  </w:style>
  <w:style w:type="character" w:customStyle="1" w:styleId="Ttulo2Car">
    <w:name w:val="Título 2 Car"/>
    <w:basedOn w:val="Fuentedeprrafopredeter"/>
    <w:link w:val="Ttulo2"/>
    <w:uiPriority w:val="9"/>
    <w:rsid w:val="00646F55"/>
    <w:rPr>
      <w:rFonts w:ascii="Arial" w:eastAsiaTheme="majorEastAsia" w:hAnsi="Arial" w:cstheme="majorBidi"/>
      <w:b/>
      <w:bCs/>
      <w:color w:val="4472C4" w:themeColor="accent1"/>
      <w:sz w:val="22"/>
      <w:szCs w:val="26"/>
    </w:rPr>
  </w:style>
  <w:style w:type="character" w:customStyle="1" w:styleId="Ttulo3Car">
    <w:name w:val="Título 3 Car"/>
    <w:basedOn w:val="Fuentedeprrafopredeter"/>
    <w:link w:val="Ttulo3"/>
    <w:rsid w:val="00646F55"/>
    <w:rPr>
      <w:rFonts w:asciiTheme="majorHAnsi" w:eastAsiaTheme="majorEastAsia" w:hAnsiTheme="majorHAnsi" w:cstheme="majorBidi"/>
      <w:b/>
      <w:bCs/>
      <w:color w:val="4472C4" w:themeColor="accent1"/>
      <w:sz w:val="22"/>
      <w:szCs w:val="22"/>
      <w:lang w:val="es-ES" w:eastAsia="es-ES" w:bidi="es-ES"/>
    </w:rPr>
  </w:style>
  <w:style w:type="character" w:customStyle="1" w:styleId="Ttulo4Car">
    <w:name w:val="Título 4 Car"/>
    <w:basedOn w:val="Fuentedeprrafopredeter"/>
    <w:link w:val="Ttulo4"/>
    <w:rsid w:val="00646F55"/>
    <w:rPr>
      <w:rFonts w:asciiTheme="majorHAnsi" w:eastAsiaTheme="majorEastAsia" w:hAnsiTheme="majorHAnsi" w:cstheme="majorBidi"/>
      <w:b/>
      <w:bCs/>
      <w:i/>
      <w:iCs/>
      <w:color w:val="4472C4" w:themeColor="accent1"/>
      <w:sz w:val="22"/>
      <w:szCs w:val="22"/>
      <w:lang w:val="es-ES" w:eastAsia="es-ES" w:bidi="es-ES"/>
    </w:rPr>
  </w:style>
  <w:style w:type="character" w:customStyle="1" w:styleId="Ttulo9Car">
    <w:name w:val="Título 9 Car"/>
    <w:basedOn w:val="Fuentedeprrafopredeter"/>
    <w:link w:val="Ttulo9"/>
    <w:rsid w:val="00646F55"/>
    <w:rPr>
      <w:rFonts w:asciiTheme="majorHAnsi" w:eastAsiaTheme="majorEastAsia" w:hAnsiTheme="majorHAnsi" w:cstheme="majorBidi"/>
      <w:i/>
      <w:iCs/>
      <w:color w:val="404040" w:themeColor="text1" w:themeTint="BF"/>
      <w:sz w:val="20"/>
      <w:szCs w:val="20"/>
      <w:lang w:val="es-ES" w:eastAsia="es-ES" w:bidi="es-ES"/>
    </w:rPr>
  </w:style>
  <w:style w:type="paragraph" w:styleId="Encabezado">
    <w:name w:val="header"/>
    <w:basedOn w:val="Normal"/>
    <w:link w:val="EncabezadoCar"/>
    <w:uiPriority w:val="99"/>
    <w:unhideWhenUsed/>
    <w:rsid w:val="0007659A"/>
    <w:pPr>
      <w:tabs>
        <w:tab w:val="center" w:pos="4419"/>
        <w:tab w:val="right" w:pos="8838"/>
      </w:tabs>
    </w:pPr>
  </w:style>
  <w:style w:type="character" w:customStyle="1" w:styleId="EncabezadoCar">
    <w:name w:val="Encabezado Car"/>
    <w:basedOn w:val="Fuentedeprrafopredeter"/>
    <w:link w:val="Encabezado"/>
    <w:uiPriority w:val="99"/>
    <w:rsid w:val="0007659A"/>
  </w:style>
  <w:style w:type="paragraph" w:styleId="Piedepgina">
    <w:name w:val="footer"/>
    <w:basedOn w:val="Normal"/>
    <w:link w:val="PiedepginaCar"/>
    <w:uiPriority w:val="99"/>
    <w:unhideWhenUsed/>
    <w:rsid w:val="0007659A"/>
    <w:pPr>
      <w:tabs>
        <w:tab w:val="center" w:pos="4419"/>
        <w:tab w:val="right" w:pos="8838"/>
      </w:tabs>
    </w:pPr>
  </w:style>
  <w:style w:type="character" w:customStyle="1" w:styleId="PiedepginaCar">
    <w:name w:val="Pie de página Car"/>
    <w:basedOn w:val="Fuentedeprrafopredeter"/>
    <w:link w:val="Piedepgina"/>
    <w:uiPriority w:val="99"/>
    <w:rsid w:val="0007659A"/>
  </w:style>
  <w:style w:type="character" w:styleId="Hipervnculo">
    <w:name w:val="Hyperlink"/>
    <w:basedOn w:val="Fuentedeprrafopredeter"/>
    <w:uiPriority w:val="99"/>
    <w:unhideWhenUsed/>
    <w:rsid w:val="005B5BEB"/>
    <w:rPr>
      <w:color w:val="0563C1" w:themeColor="hyperlink"/>
      <w:u w:val="single"/>
    </w:rPr>
  </w:style>
  <w:style w:type="character" w:customStyle="1" w:styleId="Mencinsinresolver1">
    <w:name w:val="Mención sin resolver1"/>
    <w:basedOn w:val="Fuentedeprrafopredeter"/>
    <w:uiPriority w:val="99"/>
    <w:semiHidden/>
    <w:unhideWhenUsed/>
    <w:rsid w:val="005B5BEB"/>
    <w:rPr>
      <w:color w:val="605E5C"/>
      <w:shd w:val="clear" w:color="auto" w:fill="E1DFDD"/>
    </w:rPr>
  </w:style>
  <w:style w:type="character" w:styleId="Hipervnculovisitado">
    <w:name w:val="FollowedHyperlink"/>
    <w:basedOn w:val="Fuentedeprrafopredeter"/>
    <w:uiPriority w:val="99"/>
    <w:semiHidden/>
    <w:unhideWhenUsed/>
    <w:rsid w:val="005B5BEB"/>
    <w:rPr>
      <w:color w:val="954F72" w:themeColor="followedHyperlink"/>
      <w:u w:val="single"/>
    </w:rPr>
  </w:style>
  <w:style w:type="character" w:styleId="Textoennegrita">
    <w:name w:val="Strong"/>
    <w:basedOn w:val="Fuentedeprrafopredeter"/>
    <w:uiPriority w:val="22"/>
    <w:qFormat/>
    <w:rsid w:val="005B5BEB"/>
    <w:rPr>
      <w:b/>
      <w:bCs/>
    </w:rPr>
  </w:style>
  <w:style w:type="character" w:customStyle="1" w:styleId="apple-converted-space">
    <w:name w:val="apple-converted-space"/>
    <w:basedOn w:val="Fuentedeprrafopredeter"/>
    <w:rsid w:val="005B5BEB"/>
  </w:style>
  <w:style w:type="character" w:styleId="Nmerodepgina">
    <w:name w:val="page number"/>
    <w:basedOn w:val="Fuentedeprrafopredeter"/>
    <w:uiPriority w:val="99"/>
    <w:semiHidden/>
    <w:unhideWhenUsed/>
    <w:rsid w:val="00B22906"/>
  </w:style>
  <w:style w:type="paragraph" w:styleId="Textoindependiente">
    <w:name w:val="Body Text"/>
    <w:basedOn w:val="Normal"/>
    <w:link w:val="TextoindependienteCar"/>
    <w:qFormat/>
    <w:rsid w:val="00646F55"/>
    <w:rPr>
      <w:rFonts w:ascii="Century Gothic" w:eastAsia="Century Gothic" w:hAnsi="Century Gothic" w:cs="Century Gothic"/>
      <w:b/>
      <w:bCs/>
      <w:sz w:val="91"/>
      <w:szCs w:val="91"/>
      <w:lang w:val="es-ES" w:eastAsia="es-ES" w:bidi="es-ES"/>
    </w:rPr>
  </w:style>
  <w:style w:type="character" w:customStyle="1" w:styleId="TextoindependienteCar">
    <w:name w:val="Texto independiente Car"/>
    <w:basedOn w:val="Fuentedeprrafopredeter"/>
    <w:link w:val="Textoindependiente"/>
    <w:rsid w:val="00646F55"/>
    <w:rPr>
      <w:rFonts w:ascii="Century Gothic" w:eastAsia="Century Gothic" w:hAnsi="Century Gothic" w:cs="Century Gothic"/>
      <w:b/>
      <w:bCs/>
      <w:sz w:val="91"/>
      <w:szCs w:val="91"/>
      <w:lang w:val="es-ES" w:eastAsia="es-ES" w:bidi="es-ES"/>
    </w:rPr>
  </w:style>
  <w:style w:type="paragraph" w:styleId="Prrafodelista">
    <w:name w:val="List Paragraph"/>
    <w:aliases w:val="Capítulo"/>
    <w:basedOn w:val="Normal"/>
    <w:link w:val="PrrafodelistaCar"/>
    <w:uiPriority w:val="34"/>
    <w:qFormat/>
    <w:rsid w:val="00646F55"/>
    <w:pPr>
      <w:ind w:left="720"/>
      <w:contextualSpacing/>
    </w:pPr>
    <w:rPr>
      <w:lang w:val="es-ES_tradnl"/>
    </w:rPr>
  </w:style>
  <w:style w:type="character" w:customStyle="1" w:styleId="PrrafodelistaCar">
    <w:name w:val="Párrafo de lista Car"/>
    <w:aliases w:val="Capítulo Car"/>
    <w:link w:val="Prrafodelista"/>
    <w:uiPriority w:val="34"/>
    <w:rsid w:val="00646F55"/>
    <w:rPr>
      <w:lang w:val="es-ES_tradnl"/>
    </w:rPr>
  </w:style>
  <w:style w:type="paragraph" w:styleId="NormalWeb">
    <w:name w:val="Normal (Web)"/>
    <w:basedOn w:val="Normal"/>
    <w:uiPriority w:val="99"/>
    <w:unhideWhenUsed/>
    <w:rsid w:val="00646F55"/>
    <w:pPr>
      <w:spacing w:before="100" w:beforeAutospacing="1" w:after="100" w:afterAutospacing="1"/>
    </w:pPr>
    <w:rPr>
      <w:rFonts w:ascii="Times New Roman" w:hAnsi="Times New Roman" w:cs="Times New Roman"/>
      <w:lang w:val="es-ES_tradnl" w:eastAsia="es-ES_tradnl"/>
    </w:rPr>
  </w:style>
  <w:style w:type="character" w:customStyle="1" w:styleId="TextodegloboCar">
    <w:name w:val="Texto de globo Car"/>
    <w:basedOn w:val="Fuentedeprrafopredeter"/>
    <w:link w:val="Textodeglobo"/>
    <w:uiPriority w:val="99"/>
    <w:semiHidden/>
    <w:rsid w:val="00646F55"/>
    <w:rPr>
      <w:rFonts w:ascii="Tahoma" w:eastAsia="Century Gothic" w:hAnsi="Tahoma" w:cs="Tahoma"/>
      <w:sz w:val="16"/>
      <w:szCs w:val="16"/>
      <w:lang w:val="es-ES" w:eastAsia="es-ES" w:bidi="es-ES"/>
    </w:rPr>
  </w:style>
  <w:style w:type="paragraph" w:styleId="Textodeglobo">
    <w:name w:val="Balloon Text"/>
    <w:basedOn w:val="Normal"/>
    <w:link w:val="TextodegloboCar"/>
    <w:uiPriority w:val="99"/>
    <w:semiHidden/>
    <w:unhideWhenUsed/>
    <w:rsid w:val="00646F55"/>
    <w:rPr>
      <w:rFonts w:ascii="Tahoma" w:eastAsia="Century Gothic" w:hAnsi="Tahoma" w:cs="Tahoma"/>
      <w:sz w:val="16"/>
      <w:szCs w:val="16"/>
      <w:lang w:val="es-ES" w:eastAsia="es-ES" w:bidi="es-ES"/>
    </w:rPr>
  </w:style>
  <w:style w:type="paragraph" w:styleId="Sangradetextonormal">
    <w:name w:val="Body Text Indent"/>
    <w:basedOn w:val="Normal"/>
    <w:link w:val="SangradetextonormalCar"/>
    <w:unhideWhenUsed/>
    <w:rsid w:val="00646F55"/>
    <w:pPr>
      <w:spacing w:after="120"/>
      <w:ind w:left="283"/>
    </w:pPr>
    <w:rPr>
      <w:rFonts w:ascii="Century Gothic" w:eastAsia="Century Gothic" w:hAnsi="Century Gothic" w:cs="Century Gothic"/>
      <w:sz w:val="22"/>
      <w:szCs w:val="22"/>
      <w:lang w:val="es-ES" w:eastAsia="es-ES" w:bidi="es-ES"/>
    </w:rPr>
  </w:style>
  <w:style w:type="character" w:customStyle="1" w:styleId="SangradetextonormalCar">
    <w:name w:val="Sangría de texto normal Car"/>
    <w:basedOn w:val="Fuentedeprrafopredeter"/>
    <w:link w:val="Sangradetextonormal"/>
    <w:rsid w:val="00646F55"/>
    <w:rPr>
      <w:rFonts w:ascii="Century Gothic" w:eastAsia="Century Gothic" w:hAnsi="Century Gothic" w:cs="Century Gothic"/>
      <w:sz w:val="22"/>
      <w:szCs w:val="22"/>
      <w:lang w:val="es-ES" w:eastAsia="es-ES" w:bidi="es-ES"/>
    </w:rPr>
  </w:style>
  <w:style w:type="paragraph" w:styleId="Fecha">
    <w:name w:val="Date"/>
    <w:basedOn w:val="Normal"/>
    <w:next w:val="Normal"/>
    <w:link w:val="FechaCar"/>
    <w:rsid w:val="00646F55"/>
    <w:pPr>
      <w:spacing w:line="240" w:lineRule="atLeast"/>
      <w:jc w:val="right"/>
    </w:pPr>
    <w:rPr>
      <w:rFonts w:ascii="Trebuchet MS" w:eastAsia="Times New Roman" w:hAnsi="Trebuchet MS" w:cs="Trebuchet MS"/>
      <w:b/>
      <w:color w:val="C2C2AD"/>
      <w:spacing w:val="20"/>
      <w:sz w:val="16"/>
      <w:szCs w:val="16"/>
      <w:lang w:val="en-US"/>
    </w:rPr>
  </w:style>
  <w:style w:type="character" w:customStyle="1" w:styleId="FechaCar">
    <w:name w:val="Fecha Car"/>
    <w:basedOn w:val="Fuentedeprrafopredeter"/>
    <w:link w:val="Fecha"/>
    <w:rsid w:val="00646F55"/>
    <w:rPr>
      <w:rFonts w:ascii="Trebuchet MS" w:eastAsia="Times New Roman" w:hAnsi="Trebuchet MS" w:cs="Trebuchet MS"/>
      <w:b/>
      <w:color w:val="C2C2AD"/>
      <w:spacing w:val="20"/>
      <w:sz w:val="16"/>
      <w:szCs w:val="16"/>
      <w:lang w:val="en-US"/>
    </w:rPr>
  </w:style>
  <w:style w:type="paragraph" w:customStyle="1" w:styleId="Textodelttulo">
    <w:name w:val="Texto del título"/>
    <w:basedOn w:val="Normal"/>
    <w:rsid w:val="00646F55"/>
    <w:pPr>
      <w:spacing w:line="240" w:lineRule="atLeast"/>
    </w:pPr>
    <w:rPr>
      <w:rFonts w:ascii="Lucida Sans Unicode" w:eastAsia="Times New Roman" w:hAnsi="Lucida Sans Unicode" w:cs="Lucida Sans Unicode"/>
      <w:i/>
      <w:color w:val="666633"/>
      <w:sz w:val="16"/>
      <w:szCs w:val="16"/>
      <w:lang w:val="en-US" w:bidi="en-US"/>
    </w:rPr>
  </w:style>
  <w:style w:type="paragraph" w:styleId="Cita">
    <w:name w:val="Quote"/>
    <w:basedOn w:val="Textodelttulo"/>
    <w:link w:val="CitaCar"/>
    <w:qFormat/>
    <w:rsid w:val="00646F55"/>
    <w:pPr>
      <w:spacing w:line="360" w:lineRule="atLeast"/>
      <w:jc w:val="center"/>
    </w:pPr>
    <w:rPr>
      <w:sz w:val="24"/>
      <w:szCs w:val="24"/>
    </w:rPr>
  </w:style>
  <w:style w:type="character" w:customStyle="1" w:styleId="CitaCar">
    <w:name w:val="Cita Car"/>
    <w:basedOn w:val="Fuentedeprrafopredeter"/>
    <w:link w:val="Cita"/>
    <w:rsid w:val="00646F55"/>
    <w:rPr>
      <w:rFonts w:ascii="Lucida Sans Unicode" w:eastAsia="Times New Roman" w:hAnsi="Lucida Sans Unicode" w:cs="Lucida Sans Unicode"/>
      <w:i/>
      <w:color w:val="666633"/>
      <w:lang w:val="en-US" w:bidi="en-US"/>
    </w:rPr>
  </w:style>
  <w:style w:type="paragraph" w:customStyle="1" w:styleId="Encabezado1">
    <w:name w:val="Encabezado1"/>
    <w:basedOn w:val="Ttulo1"/>
    <w:rsid w:val="00646F55"/>
    <w:pPr>
      <w:keepLines w:val="0"/>
      <w:spacing w:before="0"/>
    </w:pPr>
    <w:rPr>
      <w:rFonts w:ascii="Century Gothic" w:eastAsia="Times New Roman" w:hAnsi="Century Gothic" w:cs="Century Gothic"/>
      <w:bCs w:val="0"/>
      <w:smallCaps/>
      <w:color w:val="C2C2AD"/>
      <w:spacing w:val="44"/>
      <w:sz w:val="96"/>
      <w:szCs w:val="96"/>
      <w:lang w:val="en-US" w:eastAsia="en-US" w:bidi="en-US"/>
    </w:rPr>
  </w:style>
  <w:style w:type="paragraph" w:customStyle="1" w:styleId="Grfico">
    <w:name w:val="Gráfico"/>
    <w:basedOn w:val="Normal"/>
    <w:rsid w:val="00646F55"/>
    <w:pPr>
      <w:jc w:val="center"/>
    </w:pPr>
    <w:rPr>
      <w:rFonts w:ascii="Trebuchet MS" w:eastAsia="Times New Roman" w:hAnsi="Trebuchet MS" w:cs="Trebuchet MS"/>
      <w:color w:val="000000"/>
      <w:lang w:val="en-US" w:bidi="en-US"/>
    </w:rPr>
  </w:style>
  <w:style w:type="paragraph" w:customStyle="1" w:styleId="Eslogan">
    <w:name w:val="Eslogan"/>
    <w:basedOn w:val="Normal"/>
    <w:rsid w:val="00646F55"/>
    <w:rPr>
      <w:rFonts w:ascii="Lucida Sans Unicode" w:eastAsia="Times New Roman" w:hAnsi="Lucida Sans Unicode" w:cs="Lucida Sans Unicode"/>
      <w:b/>
      <w:color w:val="666633"/>
      <w:sz w:val="18"/>
      <w:szCs w:val="18"/>
      <w:lang w:val="en-US" w:bidi="en-US"/>
    </w:rPr>
  </w:style>
  <w:style w:type="paragraph" w:customStyle="1" w:styleId="Volumenynmero">
    <w:name w:val="Volumen y número"/>
    <w:basedOn w:val="Normal"/>
    <w:rsid w:val="00646F55"/>
    <w:pPr>
      <w:spacing w:line="240" w:lineRule="atLeast"/>
      <w:jc w:val="right"/>
    </w:pPr>
    <w:rPr>
      <w:rFonts w:ascii="Trebuchet MS" w:eastAsia="Times New Roman" w:hAnsi="Trebuchet MS" w:cs="Trebuchet MS"/>
      <w:b/>
      <w:color w:val="C2C2AD"/>
      <w:spacing w:val="20"/>
      <w:sz w:val="16"/>
      <w:szCs w:val="16"/>
      <w:lang w:val="en-US" w:bidi="en-US"/>
    </w:rPr>
  </w:style>
  <w:style w:type="paragraph" w:customStyle="1" w:styleId="Ira">
    <w:name w:val="Ir a"/>
    <w:rsid w:val="00646F55"/>
    <w:pPr>
      <w:jc w:val="right"/>
    </w:pPr>
    <w:rPr>
      <w:rFonts w:ascii="Lucida Sans Unicode" w:eastAsia="Times New Roman" w:hAnsi="Lucida Sans Unicode" w:cs="Lucida Sans Unicode"/>
      <w:sz w:val="20"/>
      <w:szCs w:val="20"/>
      <w:lang w:val="en-US" w:bidi="en-US"/>
    </w:rPr>
  </w:style>
  <w:style w:type="paragraph" w:customStyle="1" w:styleId="Irdesde">
    <w:name w:val="Ir desde"/>
    <w:rsid w:val="00646F55"/>
    <w:rPr>
      <w:rFonts w:ascii="Lucida Sans Unicode" w:eastAsia="Times New Roman" w:hAnsi="Lucida Sans Unicode" w:cs="Lucida Sans Unicode"/>
      <w:sz w:val="20"/>
      <w:szCs w:val="20"/>
      <w:lang w:val="en-US" w:bidi="en-US"/>
    </w:rPr>
  </w:style>
  <w:style w:type="paragraph" w:customStyle="1" w:styleId="Ttulodelaizquierda">
    <w:name w:val="Título de la izquierda"/>
    <w:basedOn w:val="Normal"/>
    <w:rsid w:val="00646F55"/>
    <w:rPr>
      <w:rFonts w:ascii="Lucida Sans Unicode" w:eastAsia="Times New Roman" w:hAnsi="Lucida Sans Unicode" w:cs="Lucida Sans Unicode"/>
      <w:color w:val="666633"/>
      <w:sz w:val="28"/>
      <w:szCs w:val="28"/>
      <w:lang w:val="en-US" w:bidi="en-US"/>
    </w:rPr>
  </w:style>
  <w:style w:type="paragraph" w:customStyle="1" w:styleId="Ttulodeladerecha">
    <w:name w:val="Título de la derecha"/>
    <w:basedOn w:val="Normal"/>
    <w:rsid w:val="00646F55"/>
    <w:pPr>
      <w:jc w:val="right"/>
    </w:pPr>
    <w:rPr>
      <w:rFonts w:ascii="Lucida Sans Unicode" w:eastAsia="Times New Roman" w:hAnsi="Lucida Sans Unicode" w:cs="Lucida Sans Unicode"/>
      <w:color w:val="666633"/>
      <w:sz w:val="28"/>
      <w:szCs w:val="28"/>
      <w:lang w:val="en-US" w:bidi="en-US"/>
    </w:rPr>
  </w:style>
  <w:style w:type="paragraph" w:customStyle="1" w:styleId="Lneadeautor">
    <w:name w:val="Línea de autor"/>
    <w:basedOn w:val="Irdesde"/>
    <w:rsid w:val="00646F55"/>
  </w:style>
  <w:style w:type="paragraph" w:customStyle="1" w:styleId="Direccindedevolucin">
    <w:name w:val="Dirección de devolución"/>
    <w:basedOn w:val="Normal"/>
    <w:rsid w:val="00646F55"/>
    <w:rPr>
      <w:rFonts w:ascii="Lucida Sans Unicode" w:eastAsia="Times New Roman" w:hAnsi="Lucida Sans Unicode" w:cs="Lucida Sans Unicode"/>
      <w:color w:val="666633"/>
      <w:sz w:val="22"/>
      <w:szCs w:val="22"/>
      <w:lang w:val="en-US" w:bidi="en-US"/>
    </w:rPr>
  </w:style>
  <w:style w:type="paragraph" w:customStyle="1" w:styleId="Direccindeenvo">
    <w:name w:val="Dirección de envío"/>
    <w:basedOn w:val="Normal"/>
    <w:rsid w:val="00646F55"/>
    <w:pPr>
      <w:spacing w:line="280" w:lineRule="atLeast"/>
    </w:pPr>
    <w:rPr>
      <w:rFonts w:ascii="Arial" w:eastAsia="Times New Roman" w:hAnsi="Arial" w:cs="Arial"/>
      <w:b/>
      <w:lang w:val="en-US" w:bidi="en-US"/>
    </w:rPr>
  </w:style>
  <w:style w:type="paragraph" w:customStyle="1" w:styleId="Textoprincipal-Numerado">
    <w:name w:val="Texto principal - Numerado"/>
    <w:rsid w:val="00646F55"/>
    <w:pPr>
      <w:numPr>
        <w:numId w:val="2"/>
      </w:numPr>
      <w:spacing w:after="150" w:line="300" w:lineRule="exact"/>
      <w:ind w:left="360"/>
    </w:pPr>
    <w:rPr>
      <w:rFonts w:ascii="Lucida Sans Unicode" w:eastAsia="Times New Roman" w:hAnsi="Lucida Sans Unicode" w:cs="Lucida Sans Unicode"/>
      <w:sz w:val="20"/>
      <w:szCs w:val="20"/>
      <w:lang w:val="en-US" w:bidi="en-US"/>
    </w:rPr>
  </w:style>
  <w:style w:type="paragraph" w:customStyle="1" w:styleId="Textoprincipal-Espacioextra">
    <w:name w:val="Texto principal - Espacio extra"/>
    <w:rsid w:val="00646F55"/>
    <w:pPr>
      <w:spacing w:before="300" w:after="300" w:line="300" w:lineRule="exact"/>
    </w:pPr>
    <w:rPr>
      <w:rFonts w:ascii="Lucida Sans Unicode" w:eastAsia="Times New Roman" w:hAnsi="Lucida Sans Unicode" w:cs="Lucida Sans Unicode"/>
      <w:sz w:val="20"/>
      <w:szCs w:val="20"/>
      <w:lang w:val="en-US" w:bidi="en-US"/>
    </w:rPr>
  </w:style>
  <w:style w:type="character" w:customStyle="1" w:styleId="Carcterdetextoprincipal">
    <w:name w:val="Carácter de texto principal"/>
    <w:basedOn w:val="Fuentedeprrafopredeter"/>
    <w:rsid w:val="00646F55"/>
    <w:rPr>
      <w:rFonts w:ascii="Lucida Sans Unicode" w:hAnsi="Lucida Sans Unicode" w:cs="Lucida Sans Unicode" w:hint="default"/>
      <w:lang w:val="en-US" w:eastAsia="en-US" w:bidi="en-US"/>
    </w:rPr>
  </w:style>
  <w:style w:type="paragraph" w:styleId="Bibliografa">
    <w:name w:val="Bibliography"/>
    <w:basedOn w:val="Normal"/>
    <w:next w:val="Normal"/>
    <w:uiPriority w:val="37"/>
    <w:unhideWhenUsed/>
    <w:rsid w:val="00646F55"/>
    <w:rPr>
      <w:rFonts w:ascii="Century Gothic" w:eastAsia="Century Gothic" w:hAnsi="Century Gothic" w:cs="Century Gothic"/>
      <w:sz w:val="22"/>
      <w:szCs w:val="22"/>
      <w:lang w:val="es-ES" w:eastAsia="es-ES" w:bidi="es-ES"/>
    </w:rPr>
  </w:style>
  <w:style w:type="paragraph" w:styleId="Textonotapie">
    <w:name w:val="footnote text"/>
    <w:basedOn w:val="Normal"/>
    <w:link w:val="TextonotapieCar"/>
    <w:uiPriority w:val="99"/>
    <w:unhideWhenUsed/>
    <w:rsid w:val="00646F55"/>
    <w:rPr>
      <w:rFonts w:ascii="Century Gothic" w:eastAsia="Century Gothic" w:hAnsi="Century Gothic" w:cs="Century Gothic"/>
      <w:sz w:val="20"/>
      <w:szCs w:val="20"/>
      <w:lang w:val="es-ES" w:eastAsia="es-ES" w:bidi="es-ES"/>
    </w:rPr>
  </w:style>
  <w:style w:type="character" w:customStyle="1" w:styleId="TextonotapieCar">
    <w:name w:val="Texto nota pie Car"/>
    <w:basedOn w:val="Fuentedeprrafopredeter"/>
    <w:link w:val="Textonotapie"/>
    <w:uiPriority w:val="99"/>
    <w:rsid w:val="00646F55"/>
    <w:rPr>
      <w:rFonts w:ascii="Century Gothic" w:eastAsia="Century Gothic" w:hAnsi="Century Gothic" w:cs="Century Gothic"/>
      <w:sz w:val="20"/>
      <w:szCs w:val="20"/>
      <w:lang w:val="es-ES" w:eastAsia="es-ES" w:bidi="es-ES"/>
    </w:rPr>
  </w:style>
  <w:style w:type="character" w:styleId="Refdenotaalpie">
    <w:name w:val="footnote reference"/>
    <w:basedOn w:val="Fuentedeprrafopredeter"/>
    <w:uiPriority w:val="99"/>
    <w:semiHidden/>
    <w:unhideWhenUsed/>
    <w:rsid w:val="00646F55"/>
    <w:rPr>
      <w:vertAlign w:val="superscript"/>
    </w:rPr>
  </w:style>
  <w:style w:type="character" w:customStyle="1" w:styleId="TextocomentarioCar">
    <w:name w:val="Texto comentario Car"/>
    <w:basedOn w:val="Fuentedeprrafopredeter"/>
    <w:link w:val="Textocomentario"/>
    <w:uiPriority w:val="99"/>
    <w:semiHidden/>
    <w:rsid w:val="00646F55"/>
    <w:rPr>
      <w:rFonts w:ascii="Century Gothic" w:eastAsia="Century Gothic" w:hAnsi="Century Gothic" w:cs="Century Gothic"/>
      <w:sz w:val="20"/>
      <w:szCs w:val="20"/>
      <w:lang w:val="es-ES" w:eastAsia="es-ES" w:bidi="es-ES"/>
    </w:rPr>
  </w:style>
  <w:style w:type="paragraph" w:styleId="Textocomentario">
    <w:name w:val="annotation text"/>
    <w:basedOn w:val="Normal"/>
    <w:link w:val="TextocomentarioCar"/>
    <w:uiPriority w:val="99"/>
    <w:semiHidden/>
    <w:unhideWhenUsed/>
    <w:rsid w:val="00646F55"/>
    <w:rPr>
      <w:rFonts w:ascii="Century Gothic" w:eastAsia="Century Gothic" w:hAnsi="Century Gothic" w:cs="Century Gothic"/>
      <w:sz w:val="20"/>
      <w:szCs w:val="20"/>
      <w:lang w:val="es-ES" w:eastAsia="es-ES" w:bidi="es-ES"/>
    </w:rPr>
  </w:style>
  <w:style w:type="character" w:customStyle="1" w:styleId="AsuntodelcomentarioCar">
    <w:name w:val="Asunto del comentario Car"/>
    <w:basedOn w:val="TextocomentarioCar"/>
    <w:link w:val="Asuntodelcomentario"/>
    <w:uiPriority w:val="99"/>
    <w:semiHidden/>
    <w:rsid w:val="00646F55"/>
    <w:rPr>
      <w:rFonts w:ascii="Century Gothic" w:eastAsia="Century Gothic" w:hAnsi="Century Gothic" w:cs="Century Gothic"/>
      <w:b/>
      <w:bCs/>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646F55"/>
    <w:rPr>
      <w:b/>
      <w:bCs/>
    </w:rPr>
  </w:style>
  <w:style w:type="paragraph" w:customStyle="1" w:styleId="Default">
    <w:name w:val="Default"/>
    <w:rsid w:val="00646F55"/>
    <w:pPr>
      <w:autoSpaceDE w:val="0"/>
      <w:autoSpaceDN w:val="0"/>
      <w:adjustRightInd w:val="0"/>
    </w:pPr>
    <w:rPr>
      <w:rFonts w:ascii="Century Gothic" w:hAnsi="Century Gothic" w:cs="Century Gothic"/>
      <w:color w:val="000000"/>
      <w:lang w:val="es-PR"/>
    </w:rPr>
  </w:style>
  <w:style w:type="paragraph" w:styleId="TtuloTDC">
    <w:name w:val="TOC Heading"/>
    <w:basedOn w:val="Ttulo1"/>
    <w:next w:val="Normal"/>
    <w:uiPriority w:val="39"/>
    <w:unhideWhenUsed/>
    <w:qFormat/>
    <w:rsid w:val="00646F55"/>
    <w:pPr>
      <w:spacing w:before="240" w:line="259" w:lineRule="auto"/>
      <w:outlineLvl w:val="9"/>
    </w:pPr>
    <w:rPr>
      <w:b w:val="0"/>
      <w:bCs w:val="0"/>
      <w:sz w:val="32"/>
      <w:szCs w:val="32"/>
      <w:lang w:val="es-PR" w:eastAsia="es-PR" w:bidi="ar-SA"/>
    </w:rPr>
  </w:style>
  <w:style w:type="paragraph" w:styleId="TDC2">
    <w:name w:val="toc 2"/>
    <w:basedOn w:val="Normal"/>
    <w:next w:val="Normal"/>
    <w:autoRedefine/>
    <w:uiPriority w:val="39"/>
    <w:unhideWhenUsed/>
    <w:rsid w:val="00646F55"/>
    <w:pPr>
      <w:spacing w:after="100"/>
      <w:ind w:left="220"/>
    </w:pPr>
    <w:rPr>
      <w:rFonts w:ascii="Century Gothic" w:eastAsia="Century Gothic" w:hAnsi="Century Gothic" w:cs="Century Gothic"/>
      <w:sz w:val="22"/>
      <w:szCs w:val="22"/>
      <w:lang w:val="es-ES" w:eastAsia="es-ES" w:bidi="es-ES"/>
    </w:rPr>
  </w:style>
  <w:style w:type="paragraph" w:styleId="TDC3">
    <w:name w:val="toc 3"/>
    <w:basedOn w:val="Normal"/>
    <w:next w:val="Normal"/>
    <w:autoRedefine/>
    <w:uiPriority w:val="39"/>
    <w:unhideWhenUsed/>
    <w:rsid w:val="00646F55"/>
    <w:pPr>
      <w:spacing w:after="100"/>
      <w:ind w:left="440"/>
    </w:pPr>
    <w:rPr>
      <w:rFonts w:ascii="Century Gothic" w:eastAsia="Century Gothic" w:hAnsi="Century Gothic" w:cs="Century Gothic"/>
      <w:sz w:val="22"/>
      <w:szCs w:val="22"/>
      <w:lang w:val="es-ES" w:eastAsia="es-ES" w:bidi="es-ES"/>
    </w:rPr>
  </w:style>
  <w:style w:type="paragraph" w:styleId="TDC1">
    <w:name w:val="toc 1"/>
    <w:basedOn w:val="Normal"/>
    <w:next w:val="Normal"/>
    <w:autoRedefine/>
    <w:uiPriority w:val="39"/>
    <w:unhideWhenUsed/>
    <w:rsid w:val="00646F55"/>
    <w:pPr>
      <w:spacing w:after="100"/>
    </w:pPr>
    <w:rPr>
      <w:rFonts w:ascii="Century Gothic" w:eastAsia="Century Gothic" w:hAnsi="Century Gothic" w:cs="Century Gothic"/>
      <w:sz w:val="22"/>
      <w:szCs w:val="22"/>
      <w:lang w:val="es-ES" w:eastAsia="es-ES" w:bidi="es-ES"/>
    </w:rPr>
  </w:style>
  <w:style w:type="paragraph" w:styleId="Descripcin">
    <w:name w:val="caption"/>
    <w:basedOn w:val="Normal"/>
    <w:next w:val="Normal"/>
    <w:uiPriority w:val="35"/>
    <w:unhideWhenUsed/>
    <w:qFormat/>
    <w:rsid w:val="00646F55"/>
    <w:pPr>
      <w:spacing w:after="200"/>
    </w:pPr>
    <w:rPr>
      <w:rFonts w:ascii="Century Gothic" w:eastAsia="Century Gothic" w:hAnsi="Century Gothic" w:cs="Century Gothic"/>
      <w:i/>
      <w:iCs/>
      <w:color w:val="44546A" w:themeColor="text2"/>
      <w:sz w:val="18"/>
      <w:szCs w:val="18"/>
      <w:lang w:val="es-ES" w:eastAsia="es-ES" w:bidi="es-ES"/>
    </w:rPr>
  </w:style>
  <w:style w:type="paragraph" w:styleId="Tabladeilustraciones">
    <w:name w:val="table of figures"/>
    <w:basedOn w:val="Normal"/>
    <w:next w:val="Normal"/>
    <w:uiPriority w:val="99"/>
    <w:unhideWhenUsed/>
    <w:rsid w:val="00646F55"/>
    <w:rPr>
      <w:rFonts w:ascii="Century Gothic" w:eastAsia="Century Gothic" w:hAnsi="Century Gothic" w:cs="Century Gothic"/>
      <w:sz w:val="22"/>
      <w:szCs w:val="22"/>
      <w:lang w:val="es-ES" w:eastAsia="es-ES" w:bidi="es-ES"/>
    </w:rPr>
  </w:style>
  <w:style w:type="paragraph" w:styleId="ndice1">
    <w:name w:val="index 1"/>
    <w:basedOn w:val="Normal"/>
    <w:next w:val="Normal"/>
    <w:autoRedefine/>
    <w:uiPriority w:val="99"/>
    <w:semiHidden/>
    <w:unhideWhenUsed/>
    <w:rsid w:val="00646F55"/>
    <w:pPr>
      <w:ind w:left="220" w:hanging="220"/>
    </w:pPr>
    <w:rPr>
      <w:rFonts w:ascii="Century Gothic" w:eastAsia="Century Gothic" w:hAnsi="Century Gothic" w:cs="Century Gothic"/>
      <w:sz w:val="22"/>
      <w:szCs w:val="22"/>
      <w:lang w:val="es-ES" w:eastAsia="es-ES" w:bidi="es-ES"/>
    </w:rPr>
  </w:style>
  <w:style w:type="paragraph" w:styleId="Textonotaalfinal">
    <w:name w:val="endnote text"/>
    <w:basedOn w:val="Normal"/>
    <w:link w:val="TextonotaalfinalCar"/>
    <w:uiPriority w:val="99"/>
    <w:semiHidden/>
    <w:unhideWhenUsed/>
    <w:rsid w:val="005D1329"/>
    <w:rPr>
      <w:sz w:val="20"/>
      <w:szCs w:val="20"/>
    </w:rPr>
  </w:style>
  <w:style w:type="character" w:customStyle="1" w:styleId="TextonotaalfinalCar">
    <w:name w:val="Texto nota al final Car"/>
    <w:basedOn w:val="Fuentedeprrafopredeter"/>
    <w:link w:val="Textonotaalfinal"/>
    <w:uiPriority w:val="99"/>
    <w:semiHidden/>
    <w:rsid w:val="005D1329"/>
    <w:rPr>
      <w:sz w:val="20"/>
      <w:szCs w:val="20"/>
    </w:rPr>
  </w:style>
  <w:style w:type="character" w:styleId="Refdenotaalfinal">
    <w:name w:val="endnote reference"/>
    <w:basedOn w:val="Fuentedeprrafopredeter"/>
    <w:uiPriority w:val="99"/>
    <w:semiHidden/>
    <w:unhideWhenUsed/>
    <w:rsid w:val="005D1329"/>
    <w:rPr>
      <w:vertAlign w:val="superscript"/>
    </w:rPr>
  </w:style>
  <w:style w:type="character" w:customStyle="1" w:styleId="fontstyle01">
    <w:name w:val="fontstyle01"/>
    <w:basedOn w:val="Fuentedeprrafopredeter"/>
    <w:rsid w:val="00184C96"/>
    <w:rPr>
      <w:rFonts w:ascii="Century Gothic" w:hAnsi="Century Gothic" w:hint="default"/>
      <w:b w:val="0"/>
      <w:bCs w:val="0"/>
      <w:i w:val="0"/>
      <w:iCs w:val="0"/>
      <w:color w:val="000000"/>
      <w:sz w:val="22"/>
      <w:szCs w:val="22"/>
    </w:rPr>
  </w:style>
  <w:style w:type="paragraph" w:styleId="Revisin">
    <w:name w:val="Revision"/>
    <w:hidden/>
    <w:uiPriority w:val="99"/>
    <w:semiHidden/>
    <w:rsid w:val="00BD1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14782">
      <w:bodyDiv w:val="1"/>
      <w:marLeft w:val="0"/>
      <w:marRight w:val="0"/>
      <w:marTop w:val="0"/>
      <w:marBottom w:val="0"/>
      <w:divBdr>
        <w:top w:val="none" w:sz="0" w:space="0" w:color="auto"/>
        <w:left w:val="none" w:sz="0" w:space="0" w:color="auto"/>
        <w:bottom w:val="none" w:sz="0" w:space="0" w:color="auto"/>
        <w:right w:val="none" w:sz="0" w:space="0" w:color="auto"/>
      </w:divBdr>
    </w:div>
    <w:div w:id="88737903">
      <w:bodyDiv w:val="1"/>
      <w:marLeft w:val="0"/>
      <w:marRight w:val="0"/>
      <w:marTop w:val="0"/>
      <w:marBottom w:val="0"/>
      <w:divBdr>
        <w:top w:val="none" w:sz="0" w:space="0" w:color="auto"/>
        <w:left w:val="none" w:sz="0" w:space="0" w:color="auto"/>
        <w:bottom w:val="none" w:sz="0" w:space="0" w:color="auto"/>
        <w:right w:val="none" w:sz="0" w:space="0" w:color="auto"/>
      </w:divBdr>
    </w:div>
    <w:div w:id="152307815">
      <w:bodyDiv w:val="1"/>
      <w:marLeft w:val="0"/>
      <w:marRight w:val="0"/>
      <w:marTop w:val="0"/>
      <w:marBottom w:val="0"/>
      <w:divBdr>
        <w:top w:val="none" w:sz="0" w:space="0" w:color="auto"/>
        <w:left w:val="none" w:sz="0" w:space="0" w:color="auto"/>
        <w:bottom w:val="none" w:sz="0" w:space="0" w:color="auto"/>
        <w:right w:val="none" w:sz="0" w:space="0" w:color="auto"/>
      </w:divBdr>
    </w:div>
    <w:div w:id="195656485">
      <w:bodyDiv w:val="1"/>
      <w:marLeft w:val="0"/>
      <w:marRight w:val="0"/>
      <w:marTop w:val="0"/>
      <w:marBottom w:val="0"/>
      <w:divBdr>
        <w:top w:val="none" w:sz="0" w:space="0" w:color="auto"/>
        <w:left w:val="none" w:sz="0" w:space="0" w:color="auto"/>
        <w:bottom w:val="none" w:sz="0" w:space="0" w:color="auto"/>
        <w:right w:val="none" w:sz="0" w:space="0" w:color="auto"/>
      </w:divBdr>
    </w:div>
    <w:div w:id="208806234">
      <w:bodyDiv w:val="1"/>
      <w:marLeft w:val="0"/>
      <w:marRight w:val="0"/>
      <w:marTop w:val="0"/>
      <w:marBottom w:val="0"/>
      <w:divBdr>
        <w:top w:val="none" w:sz="0" w:space="0" w:color="auto"/>
        <w:left w:val="none" w:sz="0" w:space="0" w:color="auto"/>
        <w:bottom w:val="none" w:sz="0" w:space="0" w:color="auto"/>
        <w:right w:val="none" w:sz="0" w:space="0" w:color="auto"/>
      </w:divBdr>
    </w:div>
    <w:div w:id="260990977">
      <w:bodyDiv w:val="1"/>
      <w:marLeft w:val="0"/>
      <w:marRight w:val="0"/>
      <w:marTop w:val="0"/>
      <w:marBottom w:val="0"/>
      <w:divBdr>
        <w:top w:val="none" w:sz="0" w:space="0" w:color="auto"/>
        <w:left w:val="none" w:sz="0" w:space="0" w:color="auto"/>
        <w:bottom w:val="none" w:sz="0" w:space="0" w:color="auto"/>
        <w:right w:val="none" w:sz="0" w:space="0" w:color="auto"/>
      </w:divBdr>
    </w:div>
    <w:div w:id="273482848">
      <w:bodyDiv w:val="1"/>
      <w:marLeft w:val="0"/>
      <w:marRight w:val="0"/>
      <w:marTop w:val="0"/>
      <w:marBottom w:val="0"/>
      <w:divBdr>
        <w:top w:val="none" w:sz="0" w:space="0" w:color="auto"/>
        <w:left w:val="none" w:sz="0" w:space="0" w:color="auto"/>
        <w:bottom w:val="none" w:sz="0" w:space="0" w:color="auto"/>
        <w:right w:val="none" w:sz="0" w:space="0" w:color="auto"/>
      </w:divBdr>
    </w:div>
    <w:div w:id="351687756">
      <w:bodyDiv w:val="1"/>
      <w:marLeft w:val="0"/>
      <w:marRight w:val="0"/>
      <w:marTop w:val="0"/>
      <w:marBottom w:val="0"/>
      <w:divBdr>
        <w:top w:val="none" w:sz="0" w:space="0" w:color="auto"/>
        <w:left w:val="none" w:sz="0" w:space="0" w:color="auto"/>
        <w:bottom w:val="none" w:sz="0" w:space="0" w:color="auto"/>
        <w:right w:val="none" w:sz="0" w:space="0" w:color="auto"/>
      </w:divBdr>
    </w:div>
    <w:div w:id="398483962">
      <w:bodyDiv w:val="1"/>
      <w:marLeft w:val="0"/>
      <w:marRight w:val="0"/>
      <w:marTop w:val="0"/>
      <w:marBottom w:val="0"/>
      <w:divBdr>
        <w:top w:val="none" w:sz="0" w:space="0" w:color="auto"/>
        <w:left w:val="none" w:sz="0" w:space="0" w:color="auto"/>
        <w:bottom w:val="none" w:sz="0" w:space="0" w:color="auto"/>
        <w:right w:val="none" w:sz="0" w:space="0" w:color="auto"/>
      </w:divBdr>
    </w:div>
    <w:div w:id="410541651">
      <w:bodyDiv w:val="1"/>
      <w:marLeft w:val="0"/>
      <w:marRight w:val="0"/>
      <w:marTop w:val="0"/>
      <w:marBottom w:val="0"/>
      <w:divBdr>
        <w:top w:val="none" w:sz="0" w:space="0" w:color="auto"/>
        <w:left w:val="none" w:sz="0" w:space="0" w:color="auto"/>
        <w:bottom w:val="none" w:sz="0" w:space="0" w:color="auto"/>
        <w:right w:val="none" w:sz="0" w:space="0" w:color="auto"/>
      </w:divBdr>
    </w:div>
    <w:div w:id="435948795">
      <w:bodyDiv w:val="1"/>
      <w:marLeft w:val="0"/>
      <w:marRight w:val="0"/>
      <w:marTop w:val="0"/>
      <w:marBottom w:val="0"/>
      <w:divBdr>
        <w:top w:val="none" w:sz="0" w:space="0" w:color="auto"/>
        <w:left w:val="none" w:sz="0" w:space="0" w:color="auto"/>
        <w:bottom w:val="none" w:sz="0" w:space="0" w:color="auto"/>
        <w:right w:val="none" w:sz="0" w:space="0" w:color="auto"/>
      </w:divBdr>
    </w:div>
    <w:div w:id="491141059">
      <w:bodyDiv w:val="1"/>
      <w:marLeft w:val="0"/>
      <w:marRight w:val="0"/>
      <w:marTop w:val="0"/>
      <w:marBottom w:val="0"/>
      <w:divBdr>
        <w:top w:val="none" w:sz="0" w:space="0" w:color="auto"/>
        <w:left w:val="none" w:sz="0" w:space="0" w:color="auto"/>
        <w:bottom w:val="none" w:sz="0" w:space="0" w:color="auto"/>
        <w:right w:val="none" w:sz="0" w:space="0" w:color="auto"/>
      </w:divBdr>
    </w:div>
    <w:div w:id="515269525">
      <w:bodyDiv w:val="1"/>
      <w:marLeft w:val="0"/>
      <w:marRight w:val="0"/>
      <w:marTop w:val="0"/>
      <w:marBottom w:val="0"/>
      <w:divBdr>
        <w:top w:val="none" w:sz="0" w:space="0" w:color="auto"/>
        <w:left w:val="none" w:sz="0" w:space="0" w:color="auto"/>
        <w:bottom w:val="none" w:sz="0" w:space="0" w:color="auto"/>
        <w:right w:val="none" w:sz="0" w:space="0" w:color="auto"/>
      </w:divBdr>
    </w:div>
    <w:div w:id="528033683">
      <w:bodyDiv w:val="1"/>
      <w:marLeft w:val="0"/>
      <w:marRight w:val="0"/>
      <w:marTop w:val="0"/>
      <w:marBottom w:val="0"/>
      <w:divBdr>
        <w:top w:val="none" w:sz="0" w:space="0" w:color="auto"/>
        <w:left w:val="none" w:sz="0" w:space="0" w:color="auto"/>
        <w:bottom w:val="none" w:sz="0" w:space="0" w:color="auto"/>
        <w:right w:val="none" w:sz="0" w:space="0" w:color="auto"/>
      </w:divBdr>
    </w:div>
    <w:div w:id="556627331">
      <w:bodyDiv w:val="1"/>
      <w:marLeft w:val="0"/>
      <w:marRight w:val="0"/>
      <w:marTop w:val="0"/>
      <w:marBottom w:val="0"/>
      <w:divBdr>
        <w:top w:val="none" w:sz="0" w:space="0" w:color="auto"/>
        <w:left w:val="none" w:sz="0" w:space="0" w:color="auto"/>
        <w:bottom w:val="none" w:sz="0" w:space="0" w:color="auto"/>
        <w:right w:val="none" w:sz="0" w:space="0" w:color="auto"/>
      </w:divBdr>
    </w:div>
    <w:div w:id="672299800">
      <w:bodyDiv w:val="1"/>
      <w:marLeft w:val="0"/>
      <w:marRight w:val="0"/>
      <w:marTop w:val="0"/>
      <w:marBottom w:val="0"/>
      <w:divBdr>
        <w:top w:val="none" w:sz="0" w:space="0" w:color="auto"/>
        <w:left w:val="none" w:sz="0" w:space="0" w:color="auto"/>
        <w:bottom w:val="none" w:sz="0" w:space="0" w:color="auto"/>
        <w:right w:val="none" w:sz="0" w:space="0" w:color="auto"/>
      </w:divBdr>
    </w:div>
    <w:div w:id="701637420">
      <w:bodyDiv w:val="1"/>
      <w:marLeft w:val="0"/>
      <w:marRight w:val="0"/>
      <w:marTop w:val="0"/>
      <w:marBottom w:val="0"/>
      <w:divBdr>
        <w:top w:val="none" w:sz="0" w:space="0" w:color="auto"/>
        <w:left w:val="none" w:sz="0" w:space="0" w:color="auto"/>
        <w:bottom w:val="none" w:sz="0" w:space="0" w:color="auto"/>
        <w:right w:val="none" w:sz="0" w:space="0" w:color="auto"/>
      </w:divBdr>
    </w:div>
    <w:div w:id="722561894">
      <w:bodyDiv w:val="1"/>
      <w:marLeft w:val="0"/>
      <w:marRight w:val="0"/>
      <w:marTop w:val="0"/>
      <w:marBottom w:val="0"/>
      <w:divBdr>
        <w:top w:val="none" w:sz="0" w:space="0" w:color="auto"/>
        <w:left w:val="none" w:sz="0" w:space="0" w:color="auto"/>
        <w:bottom w:val="none" w:sz="0" w:space="0" w:color="auto"/>
        <w:right w:val="none" w:sz="0" w:space="0" w:color="auto"/>
      </w:divBdr>
    </w:div>
    <w:div w:id="731730770">
      <w:bodyDiv w:val="1"/>
      <w:marLeft w:val="0"/>
      <w:marRight w:val="0"/>
      <w:marTop w:val="0"/>
      <w:marBottom w:val="0"/>
      <w:divBdr>
        <w:top w:val="none" w:sz="0" w:space="0" w:color="auto"/>
        <w:left w:val="none" w:sz="0" w:space="0" w:color="auto"/>
        <w:bottom w:val="none" w:sz="0" w:space="0" w:color="auto"/>
        <w:right w:val="none" w:sz="0" w:space="0" w:color="auto"/>
      </w:divBdr>
    </w:div>
    <w:div w:id="757217150">
      <w:bodyDiv w:val="1"/>
      <w:marLeft w:val="0"/>
      <w:marRight w:val="0"/>
      <w:marTop w:val="0"/>
      <w:marBottom w:val="0"/>
      <w:divBdr>
        <w:top w:val="none" w:sz="0" w:space="0" w:color="auto"/>
        <w:left w:val="none" w:sz="0" w:space="0" w:color="auto"/>
        <w:bottom w:val="none" w:sz="0" w:space="0" w:color="auto"/>
        <w:right w:val="none" w:sz="0" w:space="0" w:color="auto"/>
      </w:divBdr>
    </w:div>
    <w:div w:id="766316652">
      <w:bodyDiv w:val="1"/>
      <w:marLeft w:val="0"/>
      <w:marRight w:val="0"/>
      <w:marTop w:val="0"/>
      <w:marBottom w:val="0"/>
      <w:divBdr>
        <w:top w:val="none" w:sz="0" w:space="0" w:color="auto"/>
        <w:left w:val="none" w:sz="0" w:space="0" w:color="auto"/>
        <w:bottom w:val="none" w:sz="0" w:space="0" w:color="auto"/>
        <w:right w:val="none" w:sz="0" w:space="0" w:color="auto"/>
      </w:divBdr>
    </w:div>
    <w:div w:id="1022782582">
      <w:bodyDiv w:val="1"/>
      <w:marLeft w:val="0"/>
      <w:marRight w:val="0"/>
      <w:marTop w:val="0"/>
      <w:marBottom w:val="0"/>
      <w:divBdr>
        <w:top w:val="none" w:sz="0" w:space="0" w:color="auto"/>
        <w:left w:val="none" w:sz="0" w:space="0" w:color="auto"/>
        <w:bottom w:val="none" w:sz="0" w:space="0" w:color="auto"/>
        <w:right w:val="none" w:sz="0" w:space="0" w:color="auto"/>
      </w:divBdr>
    </w:div>
    <w:div w:id="1026712146">
      <w:bodyDiv w:val="1"/>
      <w:marLeft w:val="0"/>
      <w:marRight w:val="0"/>
      <w:marTop w:val="0"/>
      <w:marBottom w:val="0"/>
      <w:divBdr>
        <w:top w:val="none" w:sz="0" w:space="0" w:color="auto"/>
        <w:left w:val="none" w:sz="0" w:space="0" w:color="auto"/>
        <w:bottom w:val="none" w:sz="0" w:space="0" w:color="auto"/>
        <w:right w:val="none" w:sz="0" w:space="0" w:color="auto"/>
      </w:divBdr>
    </w:div>
    <w:div w:id="1108548034">
      <w:bodyDiv w:val="1"/>
      <w:marLeft w:val="0"/>
      <w:marRight w:val="0"/>
      <w:marTop w:val="0"/>
      <w:marBottom w:val="0"/>
      <w:divBdr>
        <w:top w:val="none" w:sz="0" w:space="0" w:color="auto"/>
        <w:left w:val="none" w:sz="0" w:space="0" w:color="auto"/>
        <w:bottom w:val="none" w:sz="0" w:space="0" w:color="auto"/>
        <w:right w:val="none" w:sz="0" w:space="0" w:color="auto"/>
      </w:divBdr>
    </w:div>
    <w:div w:id="1145388178">
      <w:bodyDiv w:val="1"/>
      <w:marLeft w:val="0"/>
      <w:marRight w:val="0"/>
      <w:marTop w:val="0"/>
      <w:marBottom w:val="0"/>
      <w:divBdr>
        <w:top w:val="none" w:sz="0" w:space="0" w:color="auto"/>
        <w:left w:val="none" w:sz="0" w:space="0" w:color="auto"/>
        <w:bottom w:val="none" w:sz="0" w:space="0" w:color="auto"/>
        <w:right w:val="none" w:sz="0" w:space="0" w:color="auto"/>
      </w:divBdr>
    </w:div>
    <w:div w:id="1184981961">
      <w:bodyDiv w:val="1"/>
      <w:marLeft w:val="0"/>
      <w:marRight w:val="0"/>
      <w:marTop w:val="0"/>
      <w:marBottom w:val="0"/>
      <w:divBdr>
        <w:top w:val="none" w:sz="0" w:space="0" w:color="auto"/>
        <w:left w:val="none" w:sz="0" w:space="0" w:color="auto"/>
        <w:bottom w:val="none" w:sz="0" w:space="0" w:color="auto"/>
        <w:right w:val="none" w:sz="0" w:space="0" w:color="auto"/>
      </w:divBdr>
    </w:div>
    <w:div w:id="1247689580">
      <w:bodyDiv w:val="1"/>
      <w:marLeft w:val="0"/>
      <w:marRight w:val="0"/>
      <w:marTop w:val="0"/>
      <w:marBottom w:val="0"/>
      <w:divBdr>
        <w:top w:val="none" w:sz="0" w:space="0" w:color="auto"/>
        <w:left w:val="none" w:sz="0" w:space="0" w:color="auto"/>
        <w:bottom w:val="none" w:sz="0" w:space="0" w:color="auto"/>
        <w:right w:val="none" w:sz="0" w:space="0" w:color="auto"/>
      </w:divBdr>
    </w:div>
    <w:div w:id="1310279648">
      <w:bodyDiv w:val="1"/>
      <w:marLeft w:val="0"/>
      <w:marRight w:val="0"/>
      <w:marTop w:val="0"/>
      <w:marBottom w:val="0"/>
      <w:divBdr>
        <w:top w:val="none" w:sz="0" w:space="0" w:color="auto"/>
        <w:left w:val="none" w:sz="0" w:space="0" w:color="auto"/>
        <w:bottom w:val="none" w:sz="0" w:space="0" w:color="auto"/>
        <w:right w:val="none" w:sz="0" w:space="0" w:color="auto"/>
      </w:divBdr>
    </w:div>
    <w:div w:id="1316950778">
      <w:bodyDiv w:val="1"/>
      <w:marLeft w:val="0"/>
      <w:marRight w:val="0"/>
      <w:marTop w:val="0"/>
      <w:marBottom w:val="0"/>
      <w:divBdr>
        <w:top w:val="none" w:sz="0" w:space="0" w:color="auto"/>
        <w:left w:val="none" w:sz="0" w:space="0" w:color="auto"/>
        <w:bottom w:val="none" w:sz="0" w:space="0" w:color="auto"/>
        <w:right w:val="none" w:sz="0" w:space="0" w:color="auto"/>
      </w:divBdr>
    </w:div>
    <w:div w:id="1502308673">
      <w:bodyDiv w:val="1"/>
      <w:marLeft w:val="0"/>
      <w:marRight w:val="0"/>
      <w:marTop w:val="0"/>
      <w:marBottom w:val="0"/>
      <w:divBdr>
        <w:top w:val="none" w:sz="0" w:space="0" w:color="auto"/>
        <w:left w:val="none" w:sz="0" w:space="0" w:color="auto"/>
        <w:bottom w:val="none" w:sz="0" w:space="0" w:color="auto"/>
        <w:right w:val="none" w:sz="0" w:space="0" w:color="auto"/>
      </w:divBdr>
    </w:div>
    <w:div w:id="1742485767">
      <w:bodyDiv w:val="1"/>
      <w:marLeft w:val="0"/>
      <w:marRight w:val="0"/>
      <w:marTop w:val="0"/>
      <w:marBottom w:val="0"/>
      <w:divBdr>
        <w:top w:val="none" w:sz="0" w:space="0" w:color="auto"/>
        <w:left w:val="none" w:sz="0" w:space="0" w:color="auto"/>
        <w:bottom w:val="none" w:sz="0" w:space="0" w:color="auto"/>
        <w:right w:val="none" w:sz="0" w:space="0" w:color="auto"/>
      </w:divBdr>
    </w:div>
    <w:div w:id="1762799445">
      <w:bodyDiv w:val="1"/>
      <w:marLeft w:val="0"/>
      <w:marRight w:val="0"/>
      <w:marTop w:val="0"/>
      <w:marBottom w:val="0"/>
      <w:divBdr>
        <w:top w:val="none" w:sz="0" w:space="0" w:color="auto"/>
        <w:left w:val="none" w:sz="0" w:space="0" w:color="auto"/>
        <w:bottom w:val="none" w:sz="0" w:space="0" w:color="auto"/>
        <w:right w:val="none" w:sz="0" w:space="0" w:color="auto"/>
      </w:divBdr>
    </w:div>
    <w:div w:id="1768764785">
      <w:bodyDiv w:val="1"/>
      <w:marLeft w:val="0"/>
      <w:marRight w:val="0"/>
      <w:marTop w:val="0"/>
      <w:marBottom w:val="0"/>
      <w:divBdr>
        <w:top w:val="none" w:sz="0" w:space="0" w:color="auto"/>
        <w:left w:val="none" w:sz="0" w:space="0" w:color="auto"/>
        <w:bottom w:val="none" w:sz="0" w:space="0" w:color="auto"/>
        <w:right w:val="none" w:sz="0" w:space="0" w:color="auto"/>
      </w:divBdr>
    </w:div>
    <w:div w:id="1816606597">
      <w:bodyDiv w:val="1"/>
      <w:marLeft w:val="0"/>
      <w:marRight w:val="0"/>
      <w:marTop w:val="0"/>
      <w:marBottom w:val="0"/>
      <w:divBdr>
        <w:top w:val="none" w:sz="0" w:space="0" w:color="auto"/>
        <w:left w:val="none" w:sz="0" w:space="0" w:color="auto"/>
        <w:bottom w:val="none" w:sz="0" w:space="0" w:color="auto"/>
        <w:right w:val="none" w:sz="0" w:space="0" w:color="auto"/>
      </w:divBdr>
    </w:div>
    <w:div w:id="1941058620">
      <w:bodyDiv w:val="1"/>
      <w:marLeft w:val="0"/>
      <w:marRight w:val="0"/>
      <w:marTop w:val="0"/>
      <w:marBottom w:val="0"/>
      <w:divBdr>
        <w:top w:val="none" w:sz="0" w:space="0" w:color="auto"/>
        <w:left w:val="none" w:sz="0" w:space="0" w:color="auto"/>
        <w:bottom w:val="none" w:sz="0" w:space="0" w:color="auto"/>
        <w:right w:val="none" w:sz="0" w:space="0" w:color="auto"/>
      </w:divBdr>
    </w:div>
    <w:div w:id="195974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hart" Target="charts/chart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11.xml"/><Relationship Id="rId10" Type="http://schemas.openxmlformats.org/officeDocument/2006/relationships/footer" Target="footer1.xml"/><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2.xml"/><Relationship Id="rId22" Type="http://schemas.openxmlformats.org/officeDocument/2006/relationships/chart" Target="charts/chart10.xml"/></Relationships>
</file>

<file path=word/_rels/footnotes.xml.rels><?xml version="1.0" encoding="UTF-8" standalone="yes"?>
<Relationships xmlns="http://schemas.openxmlformats.org/package/2006/relationships"><Relationship Id="rId2" Type="http://schemas.openxmlformats.org/officeDocument/2006/relationships/hyperlink" Target="https://www.dane.gov.co/files/investigaciones/pib/ambientales/cuentas_ambientales/cuenta-del-agua/Boletin-tecnico-cuenta-ambiental-y-economica-del-agua-2018p.pdf" TargetMode="External"/><Relationship Id="rId1" Type="http://schemas.openxmlformats.org/officeDocument/2006/relationships/hyperlink" Target="https://www.dane.gov.co/files/investigaciones/pib/ambientales/cuentas_ambientales/cuenta-ambiental-economica-flujos-materiales/bl-ct-emisiones-al-aire-pyc-combustibles2017-2018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Lenovo\Documents\EMPRESAS%202021\Publicaci&#243;n\Documento%20T&#233;cnico\Tabulados%20Doc%20T&#233;cnico%202021.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Lenovo\Documents\EMPRESAS%202021\Publicaci&#243;n\Documento%20T&#233;cnico\Tabulados%20Doc%20T&#233;cnico%202021.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Lenovo\Documents\EMPRESAS%202021\Publicaci&#243;n\Documento%20T&#233;cnico\Tabulados%20Doc%20T&#233;cnico%202021.xlsx" TargetMode="External"/><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Lenovo\Documents\EMPRESAS%202021\Publicaci&#243;n\Documento%20T&#233;cnico\Tabulados%20Doc%20T&#233;cnico%20202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Lenovo\Documents\EMPRESAS%202021\Publicaci&#243;n\Documento%20T&#233;cnico\Tabulados%20Doc%20T&#233;cnico%20202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Lenovo\Documents\EMPRESAS%202021\Publicaci&#243;n\Documento%20T&#233;cnico\Tabulados%20Doc%20T&#233;cnico%20202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Lenovo\Documents\EMPRESAS%202021\Publicaci&#243;n\Documento%20T&#233;cnico\Tabulados%20Dcto%20T&#233;cnico%20ENESEM%202020_v2_0.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Lenovo\Documents\EMPRESAS%202021\Publicaci&#243;n\Documento%20T&#233;cnico\Tabulados%20Doc%20T&#233;cnico%202021.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Lenovo\Documents\EMPRESAS%202021\Publicaci&#243;n\Documento%20T&#233;cnico\Tabulados%20Doc%20T&#233;cnico%202021.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Lenovo\Documents\EMPRESAS%202021\Publicaci&#243;n\Documento%20T&#233;cnico\Tabulados%20Doc%20T&#233;cnico%202021.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Lenovo\Documents\EMPRESAS%202020\Publicaci&#243;n\Documento%20T&#233;cnico\Tabulados%20Dcto%20T&#233;cnico%20ENESEM%20202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991885389326335E-2"/>
          <c:y val="2.6476026412405092E-2"/>
          <c:w val="0.90961570428696426"/>
          <c:h val="0.41305731761931486"/>
        </c:manualLayout>
      </c:layout>
      <c:lineChart>
        <c:grouping val="standard"/>
        <c:varyColors val="0"/>
        <c:ser>
          <c:idx val="0"/>
          <c:order val="0"/>
          <c:tx>
            <c:strRef>
              <c:f>'Tabla 2 y Figura 2'!$C$4</c:f>
              <c:strCache>
                <c:ptCount val="1"/>
                <c:pt idx="0">
                  <c:v>Mediana Empresa A</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'Tabla 2 y Figura 2'!$B$5:$B$22</c:f>
              <c:strCache>
                <c:ptCount val="18"/>
                <c:pt idx="0">
                  <c:v>Explotación de minas y canteras</c:v>
                </c:pt>
                <c:pt idx="1">
                  <c:v>Distribución de agua; alcantarillado,…</c:v>
                </c:pt>
                <c:pt idx="2">
                  <c:v>Actividades de atención de la salud humana</c:v>
                </c:pt>
                <c:pt idx="3">
                  <c:v>Actividades de alojamiento y de comidas</c:v>
                </c:pt>
                <c:pt idx="4">
                  <c:v>Industrias manufactureras</c:v>
                </c:pt>
                <c:pt idx="5">
                  <c:v>Enseñanza</c:v>
                </c:pt>
                <c:pt idx="6">
                  <c:v>Suministro de electricidad, gas, vapor</c:v>
                </c:pt>
                <c:pt idx="7">
                  <c:v>Actividades de servicios administrativos</c:v>
                </c:pt>
                <c:pt idx="8">
                  <c:v>Otras actividades de servicios</c:v>
                </c:pt>
                <c:pt idx="9">
                  <c:v>Actividades profesionales, científicas y técnicas</c:v>
                </c:pt>
                <c:pt idx="10">
                  <c:v>Actividades inmobiliarias</c:v>
                </c:pt>
                <c:pt idx="11">
                  <c:v>Transporte y almacenamiento</c:v>
                </c:pt>
                <c:pt idx="12">
                  <c:v>Construcción</c:v>
                </c:pt>
                <c:pt idx="13">
                  <c:v>NACIONAL</c:v>
                </c:pt>
                <c:pt idx="14">
                  <c:v>Artes, entretenimiento y recreación</c:v>
                </c:pt>
                <c:pt idx="15">
                  <c:v>Información y comunicación</c:v>
                </c:pt>
                <c:pt idx="16">
                  <c:v>Comercio al por mayor y al por menor; reparación de vehículos automotores</c:v>
                </c:pt>
                <c:pt idx="17">
                  <c:v>Actividades financieras y de seguros</c:v>
                </c:pt>
              </c:strCache>
            </c:strRef>
          </c:cat>
          <c:val>
            <c:numRef>
              <c:f>'Tabla 2 y Figura 2'!$C$5:$C$22</c:f>
              <c:numCache>
                <c:formatCode>###0.0</c:formatCode>
                <c:ptCount val="18"/>
                <c:pt idx="0">
                  <c:v>83</c:v>
                </c:pt>
                <c:pt idx="1">
                  <c:v>80</c:v>
                </c:pt>
                <c:pt idx="2">
                  <c:v>97</c:v>
                </c:pt>
                <c:pt idx="3">
                  <c:v>95</c:v>
                </c:pt>
                <c:pt idx="4">
                  <c:v>97</c:v>
                </c:pt>
                <c:pt idx="5">
                  <c:v>81</c:v>
                </c:pt>
                <c:pt idx="6">
                  <c:v>91</c:v>
                </c:pt>
                <c:pt idx="7">
                  <c:v>89</c:v>
                </c:pt>
                <c:pt idx="8">
                  <c:v>68</c:v>
                </c:pt>
                <c:pt idx="9">
                  <c:v>95</c:v>
                </c:pt>
                <c:pt idx="10">
                  <c:v>93</c:v>
                </c:pt>
                <c:pt idx="11">
                  <c:v>98</c:v>
                </c:pt>
                <c:pt idx="12">
                  <c:v>94.5</c:v>
                </c:pt>
                <c:pt idx="13">
                  <c:v>89</c:v>
                </c:pt>
                <c:pt idx="14">
                  <c:v>47</c:v>
                </c:pt>
                <c:pt idx="15">
                  <c:v>85.5</c:v>
                </c:pt>
                <c:pt idx="16">
                  <c:v>90</c:v>
                </c:pt>
                <c:pt idx="17">
                  <c:v>63</c:v>
                </c:pt>
              </c:numCache>
            </c:numRef>
          </c:val>
          <c:smooth val="0"/>
          <c:extLst>
            <c:ext xmlns:c16="http://schemas.microsoft.com/office/drawing/2014/chart" uri="{C3380CC4-5D6E-409C-BE32-E72D297353CC}">
              <c16:uniqueId val="{00000000-95B3-4070-A855-7382C41FDC0E}"/>
            </c:ext>
          </c:extLst>
        </c:ser>
        <c:ser>
          <c:idx val="1"/>
          <c:order val="1"/>
          <c:tx>
            <c:strRef>
              <c:f>'Tabla 2 y Figura 2'!$D$4</c:f>
              <c:strCache>
                <c:ptCount val="1"/>
                <c:pt idx="0">
                  <c:v>Mediana Empresa B</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'Tabla 2 y Figura 2'!$B$5:$B$22</c:f>
              <c:strCache>
                <c:ptCount val="18"/>
                <c:pt idx="0">
                  <c:v>Explotación de minas y canteras</c:v>
                </c:pt>
                <c:pt idx="1">
                  <c:v>Distribución de agua; alcantarillado,…</c:v>
                </c:pt>
                <c:pt idx="2">
                  <c:v>Actividades de atención de la salud humana</c:v>
                </c:pt>
                <c:pt idx="3">
                  <c:v>Actividades de alojamiento y de comidas</c:v>
                </c:pt>
                <c:pt idx="4">
                  <c:v>Industrias manufactureras</c:v>
                </c:pt>
                <c:pt idx="5">
                  <c:v>Enseñanza</c:v>
                </c:pt>
                <c:pt idx="6">
                  <c:v>Suministro de electricidad, gas, vapor</c:v>
                </c:pt>
                <c:pt idx="7">
                  <c:v>Actividades de servicios administrativos</c:v>
                </c:pt>
                <c:pt idx="8">
                  <c:v>Otras actividades de servicios</c:v>
                </c:pt>
                <c:pt idx="9">
                  <c:v>Actividades profesionales, científicas y técnicas</c:v>
                </c:pt>
                <c:pt idx="10">
                  <c:v>Actividades inmobiliarias</c:v>
                </c:pt>
                <c:pt idx="11">
                  <c:v>Transporte y almacenamiento</c:v>
                </c:pt>
                <c:pt idx="12">
                  <c:v>Construcción</c:v>
                </c:pt>
                <c:pt idx="13">
                  <c:v>NACIONAL</c:v>
                </c:pt>
                <c:pt idx="14">
                  <c:v>Artes, entretenimiento y recreación</c:v>
                </c:pt>
                <c:pt idx="15">
                  <c:v>Información y comunicación</c:v>
                </c:pt>
                <c:pt idx="16">
                  <c:v>Comercio al por mayor y al por menor; reparación de vehículos automotores</c:v>
                </c:pt>
                <c:pt idx="17">
                  <c:v>Actividades financieras y de seguros</c:v>
                </c:pt>
              </c:strCache>
            </c:strRef>
          </c:cat>
          <c:val>
            <c:numRef>
              <c:f>'Tabla 2 y Figura 2'!$D$5:$D$22</c:f>
              <c:numCache>
                <c:formatCode>###0.0</c:formatCode>
                <c:ptCount val="18"/>
                <c:pt idx="0">
                  <c:v>81</c:v>
                </c:pt>
                <c:pt idx="1">
                  <c:v>85</c:v>
                </c:pt>
                <c:pt idx="2">
                  <c:v>96.5</c:v>
                </c:pt>
                <c:pt idx="3">
                  <c:v>77.5</c:v>
                </c:pt>
                <c:pt idx="4">
                  <c:v>64</c:v>
                </c:pt>
                <c:pt idx="5">
                  <c:v>61</c:v>
                </c:pt>
                <c:pt idx="6">
                  <c:v>54</c:v>
                </c:pt>
                <c:pt idx="7">
                  <c:v>61</c:v>
                </c:pt>
                <c:pt idx="8">
                  <c:v>46</c:v>
                </c:pt>
                <c:pt idx="9">
                  <c:v>85.5</c:v>
                </c:pt>
                <c:pt idx="10">
                  <c:v>61.5</c:v>
                </c:pt>
                <c:pt idx="11">
                  <c:v>57.5</c:v>
                </c:pt>
                <c:pt idx="12">
                  <c:v>55.5</c:v>
                </c:pt>
                <c:pt idx="13">
                  <c:v>54</c:v>
                </c:pt>
                <c:pt idx="14">
                  <c:v>37</c:v>
                </c:pt>
                <c:pt idx="15">
                  <c:v>29</c:v>
                </c:pt>
                <c:pt idx="16">
                  <c:v>25</c:v>
                </c:pt>
                <c:pt idx="17">
                  <c:v>10</c:v>
                </c:pt>
              </c:numCache>
            </c:numRef>
          </c:val>
          <c:smooth val="0"/>
          <c:extLst>
            <c:ext xmlns:c16="http://schemas.microsoft.com/office/drawing/2014/chart" uri="{C3380CC4-5D6E-409C-BE32-E72D297353CC}">
              <c16:uniqueId val="{00000001-95B3-4070-A855-7382C41FDC0E}"/>
            </c:ext>
          </c:extLst>
        </c:ser>
        <c:ser>
          <c:idx val="2"/>
          <c:order val="2"/>
          <c:tx>
            <c:strRef>
              <c:f>'Tabla 2 y Figura 2'!$E$4</c:f>
              <c:strCache>
                <c:ptCount val="1"/>
                <c:pt idx="0">
                  <c:v>Gran Empresa</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'Tabla 2 y Figura 2'!$B$5:$B$22</c:f>
              <c:strCache>
                <c:ptCount val="18"/>
                <c:pt idx="0">
                  <c:v>Explotación de minas y canteras</c:v>
                </c:pt>
                <c:pt idx="1">
                  <c:v>Distribución de agua; alcantarillado,…</c:v>
                </c:pt>
                <c:pt idx="2">
                  <c:v>Actividades de atención de la salud humana</c:v>
                </c:pt>
                <c:pt idx="3">
                  <c:v>Actividades de alojamiento y de comidas</c:v>
                </c:pt>
                <c:pt idx="4">
                  <c:v>Industrias manufactureras</c:v>
                </c:pt>
                <c:pt idx="5">
                  <c:v>Enseñanza</c:v>
                </c:pt>
                <c:pt idx="6">
                  <c:v>Suministro de electricidad, gas, vapor</c:v>
                </c:pt>
                <c:pt idx="7">
                  <c:v>Actividades de servicios administrativos</c:v>
                </c:pt>
                <c:pt idx="8">
                  <c:v>Otras actividades de servicios</c:v>
                </c:pt>
                <c:pt idx="9">
                  <c:v>Actividades profesionales, científicas y técnicas</c:v>
                </c:pt>
                <c:pt idx="10">
                  <c:v>Actividades inmobiliarias</c:v>
                </c:pt>
                <c:pt idx="11">
                  <c:v>Transporte y almacenamiento</c:v>
                </c:pt>
                <c:pt idx="12">
                  <c:v>Construcción</c:v>
                </c:pt>
                <c:pt idx="13">
                  <c:v>NACIONAL</c:v>
                </c:pt>
                <c:pt idx="14">
                  <c:v>Artes, entretenimiento y recreación</c:v>
                </c:pt>
                <c:pt idx="15">
                  <c:v>Información y comunicación</c:v>
                </c:pt>
                <c:pt idx="16">
                  <c:v>Comercio al por mayor y al por menor; reparación de vehículos automotores</c:v>
                </c:pt>
                <c:pt idx="17">
                  <c:v>Actividades financieras y de seguros</c:v>
                </c:pt>
              </c:strCache>
            </c:strRef>
          </c:cat>
          <c:val>
            <c:numRef>
              <c:f>'Tabla 2 y Figura 2'!$E$5:$E$22</c:f>
              <c:numCache>
                <c:formatCode>###0.0</c:formatCode>
                <c:ptCount val="18"/>
                <c:pt idx="0">
                  <c:v>79</c:v>
                </c:pt>
                <c:pt idx="1">
                  <c:v>74</c:v>
                </c:pt>
                <c:pt idx="2">
                  <c:v>72</c:v>
                </c:pt>
                <c:pt idx="3">
                  <c:v>63</c:v>
                </c:pt>
                <c:pt idx="4">
                  <c:v>72</c:v>
                </c:pt>
                <c:pt idx="5">
                  <c:v>48</c:v>
                </c:pt>
                <c:pt idx="6">
                  <c:v>62</c:v>
                </c:pt>
                <c:pt idx="7">
                  <c:v>40</c:v>
                </c:pt>
                <c:pt idx="8">
                  <c:v>55</c:v>
                </c:pt>
                <c:pt idx="9">
                  <c:v>25</c:v>
                </c:pt>
                <c:pt idx="10">
                  <c:v>28</c:v>
                </c:pt>
                <c:pt idx="11">
                  <c:v>49</c:v>
                </c:pt>
                <c:pt idx="12">
                  <c:v>49</c:v>
                </c:pt>
                <c:pt idx="13">
                  <c:v>46</c:v>
                </c:pt>
                <c:pt idx="14">
                  <c:v>39</c:v>
                </c:pt>
                <c:pt idx="15">
                  <c:v>29</c:v>
                </c:pt>
                <c:pt idx="16">
                  <c:v>34</c:v>
                </c:pt>
                <c:pt idx="17">
                  <c:v>24.5</c:v>
                </c:pt>
              </c:numCache>
            </c:numRef>
          </c:val>
          <c:smooth val="0"/>
          <c:extLst>
            <c:ext xmlns:c16="http://schemas.microsoft.com/office/drawing/2014/chart" uri="{C3380CC4-5D6E-409C-BE32-E72D297353CC}">
              <c16:uniqueId val="{00000002-95B3-4070-A855-7382C41FDC0E}"/>
            </c:ext>
          </c:extLst>
        </c:ser>
        <c:ser>
          <c:idx val="3"/>
          <c:order val="3"/>
          <c:tx>
            <c:strRef>
              <c:f>'Tabla 2 y Figura 2'!$F$4</c:f>
              <c:strCache>
                <c:ptCount val="1"/>
                <c:pt idx="0">
                  <c:v>Nacional</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'Tabla 2 y Figura 2'!$B$5:$B$22</c:f>
              <c:strCache>
                <c:ptCount val="18"/>
                <c:pt idx="0">
                  <c:v>Explotación de minas y canteras</c:v>
                </c:pt>
                <c:pt idx="1">
                  <c:v>Distribución de agua; alcantarillado,…</c:v>
                </c:pt>
                <c:pt idx="2">
                  <c:v>Actividades de atención de la salud humana</c:v>
                </c:pt>
                <c:pt idx="3">
                  <c:v>Actividades de alojamiento y de comidas</c:v>
                </c:pt>
                <c:pt idx="4">
                  <c:v>Industrias manufactureras</c:v>
                </c:pt>
                <c:pt idx="5">
                  <c:v>Enseñanza</c:v>
                </c:pt>
                <c:pt idx="6">
                  <c:v>Suministro de electricidad, gas, vapor</c:v>
                </c:pt>
                <c:pt idx="7">
                  <c:v>Actividades de servicios administrativos</c:v>
                </c:pt>
                <c:pt idx="8">
                  <c:v>Otras actividades de servicios</c:v>
                </c:pt>
                <c:pt idx="9">
                  <c:v>Actividades profesionales, científicas y técnicas</c:v>
                </c:pt>
                <c:pt idx="10">
                  <c:v>Actividades inmobiliarias</c:v>
                </c:pt>
                <c:pt idx="11">
                  <c:v>Transporte y almacenamiento</c:v>
                </c:pt>
                <c:pt idx="12">
                  <c:v>Construcción</c:v>
                </c:pt>
                <c:pt idx="13">
                  <c:v>NACIONAL</c:v>
                </c:pt>
                <c:pt idx="14">
                  <c:v>Artes, entretenimiento y recreación</c:v>
                </c:pt>
                <c:pt idx="15">
                  <c:v>Información y comunicación</c:v>
                </c:pt>
                <c:pt idx="16">
                  <c:v>Comercio al por mayor y al por menor; reparación de vehículos automotores</c:v>
                </c:pt>
                <c:pt idx="17">
                  <c:v>Actividades financieras y de seguros</c:v>
                </c:pt>
              </c:strCache>
            </c:strRef>
          </c:cat>
          <c:val>
            <c:numRef>
              <c:f>'Tabla 2 y Figura 2'!$F$5:$F$22</c:f>
              <c:numCache>
                <c:formatCode>###0.0</c:formatCode>
                <c:ptCount val="18"/>
                <c:pt idx="0">
                  <c:v>80</c:v>
                </c:pt>
                <c:pt idx="1">
                  <c:v>78</c:v>
                </c:pt>
                <c:pt idx="2">
                  <c:v>76.5</c:v>
                </c:pt>
                <c:pt idx="3">
                  <c:v>75</c:v>
                </c:pt>
                <c:pt idx="4">
                  <c:v>71</c:v>
                </c:pt>
                <c:pt idx="5">
                  <c:v>67</c:v>
                </c:pt>
                <c:pt idx="6">
                  <c:v>64</c:v>
                </c:pt>
                <c:pt idx="7">
                  <c:v>61</c:v>
                </c:pt>
                <c:pt idx="8">
                  <c:v>57.5</c:v>
                </c:pt>
                <c:pt idx="9">
                  <c:v>57</c:v>
                </c:pt>
                <c:pt idx="10">
                  <c:v>56</c:v>
                </c:pt>
                <c:pt idx="11">
                  <c:v>53</c:v>
                </c:pt>
                <c:pt idx="12">
                  <c:v>53</c:v>
                </c:pt>
                <c:pt idx="13">
                  <c:v>51</c:v>
                </c:pt>
                <c:pt idx="14">
                  <c:v>40</c:v>
                </c:pt>
                <c:pt idx="15">
                  <c:v>37.5</c:v>
                </c:pt>
                <c:pt idx="16">
                  <c:v>33</c:v>
                </c:pt>
                <c:pt idx="17">
                  <c:v>23.5</c:v>
                </c:pt>
              </c:numCache>
            </c:numRef>
          </c:val>
          <c:smooth val="0"/>
          <c:extLst>
            <c:ext xmlns:c16="http://schemas.microsoft.com/office/drawing/2014/chart" uri="{C3380CC4-5D6E-409C-BE32-E72D297353CC}">
              <c16:uniqueId val="{00000003-95B3-4070-A855-7382C41FDC0E}"/>
            </c:ext>
          </c:extLst>
        </c:ser>
        <c:dLbls>
          <c:showLegendKey val="0"/>
          <c:showVal val="0"/>
          <c:showCatName val="0"/>
          <c:showSerName val="0"/>
          <c:showPercent val="0"/>
          <c:showBubbleSize val="0"/>
        </c:dLbls>
        <c:marker val="1"/>
        <c:smooth val="0"/>
        <c:axId val="1942849344"/>
        <c:axId val="1942847680"/>
      </c:lineChart>
      <c:catAx>
        <c:axId val="19428493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EC"/>
          </a:p>
        </c:txPr>
        <c:crossAx val="1942847680"/>
        <c:crosses val="autoZero"/>
        <c:auto val="1"/>
        <c:lblAlgn val="ctr"/>
        <c:lblOffset val="100"/>
        <c:noMultiLvlLbl val="0"/>
      </c:catAx>
      <c:valAx>
        <c:axId val="1942847680"/>
        <c:scaling>
          <c:orientation val="minMax"/>
          <c:max val="100"/>
          <c:min val="1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EC"/>
          </a:p>
        </c:txPr>
        <c:crossAx val="1942849344"/>
        <c:crosses val="autoZero"/>
        <c:crossBetween val="between"/>
      </c:valAx>
      <c:spPr>
        <a:noFill/>
        <a:ln>
          <a:noFill/>
        </a:ln>
        <a:effectLst/>
      </c:spPr>
    </c:plotArea>
    <c:legend>
      <c:legendPos val="b"/>
      <c:layout>
        <c:manualLayout>
          <c:xMode val="edge"/>
          <c:yMode val="edge"/>
          <c:x val="7.6003760120485583E-2"/>
          <c:y val="0.92638872354778545"/>
          <c:w val="0.88199973719587998"/>
          <c:h val="5.5853358502973308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EC"/>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s-EC"/>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barChart>
        <c:barDir val="bar"/>
        <c:grouping val="clustered"/>
        <c:varyColors val="0"/>
        <c:ser>
          <c:idx val="0"/>
          <c:order val="0"/>
          <c:spPr>
            <a:solidFill>
              <a:schemeClr val="accent6">
                <a:alpha val="85000"/>
              </a:schemeClr>
            </a:solidFill>
            <a:ln w="9525" cap="flat" cmpd="sng" algn="ctr">
              <a:solidFill>
                <a:schemeClr val="lt1">
                  <a:alpha val="50000"/>
                </a:schemeClr>
              </a:solidFill>
              <a:round/>
            </a:ln>
            <a:effectLst/>
          </c:spPr>
          <c:invertIfNegative val="0"/>
          <c:dLbls>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4">
                          <a:lumMod val="50000"/>
                        </a:schemeClr>
                      </a:solidFill>
                      <a:latin typeface="+mn-lt"/>
                      <a:ea typeface="+mn-ea"/>
                      <a:cs typeface="+mn-cs"/>
                    </a:defRPr>
                  </a:pPr>
                  <a:endParaRPr lang="es-EC"/>
                </a:p>
              </c:txPr>
              <c:dLblPos val="inEnd"/>
              <c:showLegendKey val="0"/>
              <c:showVal val="1"/>
              <c:showCatName val="0"/>
              <c:showSerName val="0"/>
              <c:showPercent val="0"/>
              <c:showBubbleSize val="0"/>
              <c:extLst>
                <c:ext xmlns:c16="http://schemas.microsoft.com/office/drawing/2014/chart" uri="{C3380CC4-5D6E-409C-BE32-E72D297353CC}">
                  <c16:uniqueId val="{00000003-EC6E-4BBF-9773-44DB4064FE44}"/>
                </c:ext>
              </c:extLst>
            </c:dLbl>
            <c:dLbl>
              <c:idx val="1"/>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EC"/>
                </a:p>
              </c:txPr>
              <c:dLblPos val="inEnd"/>
              <c:showLegendKey val="0"/>
              <c:showVal val="1"/>
              <c:showCatName val="0"/>
              <c:showSerName val="0"/>
              <c:showPercent val="0"/>
              <c:showBubbleSize val="0"/>
              <c:extLst>
                <c:ext xmlns:c16="http://schemas.microsoft.com/office/drawing/2014/chart" uri="{C3380CC4-5D6E-409C-BE32-E72D297353CC}">
                  <c16:uniqueId val="{00000002-EC6E-4BBF-9773-44DB4064FE44}"/>
                </c:ext>
              </c:extLst>
            </c:dLbl>
            <c:dLbl>
              <c:idx val="2"/>
              <c:layout>
                <c:manualLayout>
                  <c:x val="-0.17355381925141258"/>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C6E-4BBF-9773-44DB4064FE44}"/>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EC"/>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'Figuras 10-11-12'!$K$24:$K$28</c:f>
              <c:strCache>
                <c:ptCount val="5"/>
                <c:pt idx="0">
                  <c:v>Sin tratamiento</c:v>
                </c:pt>
                <c:pt idx="1">
                  <c:v>Electroquímico</c:v>
                </c:pt>
                <c:pt idx="2">
                  <c:v>Biológico</c:v>
                </c:pt>
                <c:pt idx="3">
                  <c:v>Químico</c:v>
                </c:pt>
                <c:pt idx="4">
                  <c:v>Físico</c:v>
                </c:pt>
              </c:strCache>
            </c:strRef>
          </c:cat>
          <c:val>
            <c:numRef>
              <c:f>'Figuras 10-11-12'!$L$24:$L$28</c:f>
              <c:numCache>
                <c:formatCode>0.00%</c:formatCode>
                <c:ptCount val="5"/>
                <c:pt idx="0">
                  <c:v>0.156</c:v>
                </c:pt>
                <c:pt idx="1">
                  <c:v>1.0999999999999999E-2</c:v>
                </c:pt>
                <c:pt idx="2">
                  <c:v>0.26700000000000002</c:v>
                </c:pt>
                <c:pt idx="3">
                  <c:v>0.61899999999999999</c:v>
                </c:pt>
                <c:pt idx="4">
                  <c:v>0.68899999999999995</c:v>
                </c:pt>
              </c:numCache>
            </c:numRef>
          </c:val>
          <c:extLst>
            <c:ext xmlns:c16="http://schemas.microsoft.com/office/drawing/2014/chart" uri="{C3380CC4-5D6E-409C-BE32-E72D297353CC}">
              <c16:uniqueId val="{00000000-EC6E-4BBF-9773-44DB4064FE44}"/>
            </c:ext>
          </c:extLst>
        </c:ser>
        <c:dLbls>
          <c:dLblPos val="inEnd"/>
          <c:showLegendKey val="0"/>
          <c:showVal val="1"/>
          <c:showCatName val="0"/>
          <c:showSerName val="0"/>
          <c:showPercent val="0"/>
          <c:showBubbleSize val="0"/>
        </c:dLbls>
        <c:gapWidth val="65"/>
        <c:axId val="-15496864"/>
        <c:axId val="-15502848"/>
      </c:barChart>
      <c:catAx>
        <c:axId val="-15496864"/>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s-EC"/>
          </a:p>
        </c:txPr>
        <c:crossAx val="-15502848"/>
        <c:crosses val="autoZero"/>
        <c:auto val="1"/>
        <c:lblAlgn val="ctr"/>
        <c:lblOffset val="100"/>
        <c:noMultiLvlLbl val="0"/>
      </c:catAx>
      <c:valAx>
        <c:axId val="-15502848"/>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dk1">
                    <a:lumMod val="75000"/>
                    <a:lumOff val="25000"/>
                  </a:schemeClr>
                </a:solidFill>
                <a:latin typeface="+mn-lt"/>
                <a:ea typeface="+mn-ea"/>
                <a:cs typeface="+mn-cs"/>
              </a:defRPr>
            </a:pPr>
            <a:endParaRPr lang="es-EC"/>
          </a:p>
        </c:txPr>
        <c:crossAx val="-15496864"/>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EC"/>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barChart>
        <c:barDir val="bar"/>
        <c:grouping val="clustered"/>
        <c:varyColors val="0"/>
        <c:ser>
          <c:idx val="0"/>
          <c:order val="0"/>
          <c:spPr>
            <a:solidFill>
              <a:schemeClr val="accent6">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s-EC"/>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'Figuras 10-11-12'!$C$53:$C$57</c:f>
              <c:strCache>
                <c:ptCount val="5"/>
                <c:pt idx="0">
                  <c:v>Sin tratamiento</c:v>
                </c:pt>
                <c:pt idx="1">
                  <c:v>Electroquímico</c:v>
                </c:pt>
                <c:pt idx="2">
                  <c:v>Físico</c:v>
                </c:pt>
                <c:pt idx="3">
                  <c:v>Biológico</c:v>
                </c:pt>
                <c:pt idx="4">
                  <c:v>Químico</c:v>
                </c:pt>
              </c:strCache>
            </c:strRef>
          </c:cat>
          <c:val>
            <c:numRef>
              <c:f>'Figuras 10-11-12'!$D$53:$D$57</c:f>
              <c:numCache>
                <c:formatCode>###0.00%</c:formatCode>
                <c:ptCount val="5"/>
                <c:pt idx="0">
                  <c:v>3.5300523045478653E-3</c:v>
                </c:pt>
                <c:pt idx="1">
                  <c:v>4.4956735967962549E-4</c:v>
                </c:pt>
                <c:pt idx="2">
                  <c:v>0.48310621676751925</c:v>
                </c:pt>
                <c:pt idx="3">
                  <c:v>0.62887850340181328</c:v>
                </c:pt>
                <c:pt idx="4">
                  <c:v>0.80572474358717083</c:v>
                </c:pt>
              </c:numCache>
            </c:numRef>
          </c:val>
          <c:extLst>
            <c:ext xmlns:c16="http://schemas.microsoft.com/office/drawing/2014/chart" uri="{C3380CC4-5D6E-409C-BE32-E72D297353CC}">
              <c16:uniqueId val="{00000000-AAAD-4768-B9AD-BFBB46AE2A12}"/>
            </c:ext>
          </c:extLst>
        </c:ser>
        <c:dLbls>
          <c:dLblPos val="inEnd"/>
          <c:showLegendKey val="0"/>
          <c:showVal val="1"/>
          <c:showCatName val="0"/>
          <c:showSerName val="0"/>
          <c:showPercent val="0"/>
          <c:showBubbleSize val="0"/>
        </c:dLbls>
        <c:gapWidth val="65"/>
        <c:axId val="-15122992"/>
        <c:axId val="-15125712"/>
      </c:barChart>
      <c:catAx>
        <c:axId val="-15122992"/>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s-EC"/>
          </a:p>
        </c:txPr>
        <c:crossAx val="-15125712"/>
        <c:crosses val="autoZero"/>
        <c:auto val="1"/>
        <c:lblAlgn val="ctr"/>
        <c:lblOffset val="100"/>
        <c:noMultiLvlLbl val="0"/>
      </c:catAx>
      <c:valAx>
        <c:axId val="-15125712"/>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dk1">
                    <a:lumMod val="75000"/>
                    <a:lumOff val="25000"/>
                  </a:schemeClr>
                </a:solidFill>
                <a:latin typeface="+mn-lt"/>
                <a:ea typeface="+mn-ea"/>
                <a:cs typeface="+mn-cs"/>
              </a:defRPr>
            </a:pPr>
            <a:endParaRPr lang="es-EC"/>
          </a:p>
        </c:txPr>
        <c:crossAx val="-15122992"/>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EC"/>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manualLayout>
          <c:layoutTarget val="inner"/>
          <c:xMode val="edge"/>
          <c:yMode val="edge"/>
          <c:x val="0.47266048740056404"/>
          <c:y val="4.5118949958982774E-2"/>
          <c:w val="0.45493899912061692"/>
          <c:h val="0.78473868473577801"/>
        </c:manualLayout>
      </c:layout>
      <c:barChart>
        <c:barDir val="bar"/>
        <c:grouping val="clustered"/>
        <c:varyColors val="0"/>
        <c:ser>
          <c:idx val="1"/>
          <c:order val="0"/>
          <c:tx>
            <c:strRef>
              <c:f>'Figura 3'!$C$2</c:f>
              <c:strCache>
                <c:ptCount val="1"/>
                <c:pt idx="0">
                  <c:v>Año 2021</c:v>
                </c:pt>
              </c:strCache>
            </c:strRef>
          </c:tx>
          <c:spPr>
            <a:solidFill>
              <a:schemeClr val="accent6">
                <a:shade val="76000"/>
              </a:schemeClr>
            </a:solidFill>
            <a:ln>
              <a:noFill/>
            </a:ln>
            <a:effectLst/>
          </c:spPr>
          <c:invertIfNegative val="0"/>
          <c:cat>
            <c:strRef>
              <c:f>'Figura 3'!$A$3:$A$22</c:f>
              <c:strCache>
                <c:ptCount val="18"/>
                <c:pt idx="0">
                  <c:v>Actividades inmobiliarias</c:v>
                </c:pt>
                <c:pt idx="1">
                  <c:v>Comercio al por mayor y menor</c:v>
                </c:pt>
                <c:pt idx="2">
                  <c:v>Artes, entretenimiento y recreación</c:v>
                </c:pt>
                <c:pt idx="3">
                  <c:v>Otras actividades de servicios</c:v>
                </c:pt>
                <c:pt idx="4">
                  <c:v>Transporte y Almacenamiento</c:v>
                </c:pt>
                <c:pt idx="5">
                  <c:v>Actvidades de servicios administrativos y de apoyo</c:v>
                </c:pt>
                <c:pt idx="6">
                  <c:v>Enseñanza</c:v>
                </c:pt>
                <c:pt idx="7">
                  <c:v>Actividades financieras y de seguros</c:v>
                </c:pt>
                <c:pt idx="8">
                  <c:v>Actividades profesionales, científicas y técnicas</c:v>
                </c:pt>
                <c:pt idx="9">
                  <c:v>Construcción</c:v>
                </c:pt>
                <c:pt idx="10">
                  <c:v>Información y comunicación</c:v>
                </c:pt>
                <c:pt idx="11">
                  <c:v>NACIONAL</c:v>
                </c:pt>
                <c:pt idx="12">
                  <c:v>Actividades de alojamiento y servicio de comidas</c:v>
                </c:pt>
                <c:pt idx="13">
                  <c:v>Actividades de atención de la salud</c:v>
                </c:pt>
                <c:pt idx="14">
                  <c:v>Industria manufacturera</c:v>
                </c:pt>
                <c:pt idx="15">
                  <c:v>Suministro de electricidad, gas, vapor y aire acondicionado</c:v>
                </c:pt>
                <c:pt idx="16">
                  <c:v>Explotación de Minas y Canteras</c:v>
                </c:pt>
                <c:pt idx="17">
                  <c:v>Distribución de agua, alcantarillado, gestión de desechos y saneamiento</c:v>
                </c:pt>
              </c:strCache>
            </c:strRef>
          </c:cat>
          <c:val>
            <c:numRef>
              <c:f>'Figura 3'!$C$3:$C$22</c:f>
              <c:numCache>
                <c:formatCode>0</c:formatCode>
                <c:ptCount val="18"/>
                <c:pt idx="0">
                  <c:v>11.52050676037865</c:v>
                </c:pt>
                <c:pt idx="1">
                  <c:v>13.269026879327374</c:v>
                </c:pt>
                <c:pt idx="2">
                  <c:v>13.484327217125376</c:v>
                </c:pt>
                <c:pt idx="3">
                  <c:v>22.551593667052707</c:v>
                </c:pt>
                <c:pt idx="4">
                  <c:v>22.737839572711486</c:v>
                </c:pt>
                <c:pt idx="5">
                  <c:v>23.1683328258557</c:v>
                </c:pt>
                <c:pt idx="6">
                  <c:v>24.308519287691496</c:v>
                </c:pt>
                <c:pt idx="7">
                  <c:v>31.147540983606547</c:v>
                </c:pt>
                <c:pt idx="8">
                  <c:v>37.837858763617142</c:v>
                </c:pt>
                <c:pt idx="9">
                  <c:v>41.284117247066817</c:v>
                </c:pt>
                <c:pt idx="10">
                  <c:v>46.858960298982439</c:v>
                </c:pt>
                <c:pt idx="11">
                  <c:v>59.475457705538588</c:v>
                </c:pt>
                <c:pt idx="12">
                  <c:v>68.764987817098714</c:v>
                </c:pt>
                <c:pt idx="13">
                  <c:v>88.859864499669698</c:v>
                </c:pt>
                <c:pt idx="14">
                  <c:v>172.76695763156843</c:v>
                </c:pt>
                <c:pt idx="15">
                  <c:v>343.34693877551035</c:v>
                </c:pt>
                <c:pt idx="16">
                  <c:v>441.24062764133805</c:v>
                </c:pt>
                <c:pt idx="17">
                  <c:v>1614.5645303726233</c:v>
                </c:pt>
              </c:numCache>
            </c:numRef>
          </c:val>
          <c:extLst>
            <c:ext xmlns:c16="http://schemas.microsoft.com/office/drawing/2014/chart" uri="{C3380CC4-5D6E-409C-BE32-E72D297353CC}">
              <c16:uniqueId val="{00000000-B8F5-46DD-BBD9-CF031D2D3E5E}"/>
            </c:ext>
          </c:extLst>
        </c:ser>
        <c:ser>
          <c:idx val="0"/>
          <c:order val="1"/>
          <c:tx>
            <c:strRef>
              <c:f>'Figura 3'!$B$2</c:f>
              <c:strCache>
                <c:ptCount val="1"/>
                <c:pt idx="0">
                  <c:v>Año 2020</c:v>
                </c:pt>
              </c:strCache>
            </c:strRef>
          </c:tx>
          <c:spPr>
            <a:solidFill>
              <a:schemeClr val="accent6">
                <a:tint val="77000"/>
              </a:schemeClr>
            </a:solidFill>
            <a:ln>
              <a:noFill/>
            </a:ln>
            <a:effectLst/>
          </c:spPr>
          <c:invertIfNegative val="0"/>
          <c:cat>
            <c:strRef>
              <c:f>'Figura 3'!$A$3:$A$22</c:f>
              <c:strCache>
                <c:ptCount val="18"/>
                <c:pt idx="0">
                  <c:v>Actividades inmobiliarias</c:v>
                </c:pt>
                <c:pt idx="1">
                  <c:v>Comercio al por mayor y menor</c:v>
                </c:pt>
                <c:pt idx="2">
                  <c:v>Artes, entretenimiento y recreación</c:v>
                </c:pt>
                <c:pt idx="3">
                  <c:v>Otras actividades de servicios</c:v>
                </c:pt>
                <c:pt idx="4">
                  <c:v>Transporte y Almacenamiento</c:v>
                </c:pt>
                <c:pt idx="5">
                  <c:v>Actvidades de servicios administrativos y de apoyo</c:v>
                </c:pt>
                <c:pt idx="6">
                  <c:v>Enseñanza</c:v>
                </c:pt>
                <c:pt idx="7">
                  <c:v>Actividades financieras y de seguros</c:v>
                </c:pt>
                <c:pt idx="8">
                  <c:v>Actividades profesionales, científicas y técnicas</c:v>
                </c:pt>
                <c:pt idx="9">
                  <c:v>Construcción</c:v>
                </c:pt>
                <c:pt idx="10">
                  <c:v>Información y comunicación</c:v>
                </c:pt>
                <c:pt idx="11">
                  <c:v>NACIONAL</c:v>
                </c:pt>
                <c:pt idx="12">
                  <c:v>Actividades de alojamiento y servicio de comidas</c:v>
                </c:pt>
                <c:pt idx="13">
                  <c:v>Actividades de atención de la salud</c:v>
                </c:pt>
                <c:pt idx="14">
                  <c:v>Industria manufacturera</c:v>
                </c:pt>
                <c:pt idx="15">
                  <c:v>Suministro de electricidad, gas, vapor y aire acondicionado</c:v>
                </c:pt>
                <c:pt idx="16">
                  <c:v>Explotación de Minas y Canteras</c:v>
                </c:pt>
                <c:pt idx="17">
                  <c:v>Distribución de agua, alcantarillado, gestión de desechos y saneamiento</c:v>
                </c:pt>
              </c:strCache>
            </c:strRef>
          </c:cat>
          <c:val>
            <c:numRef>
              <c:f>'Figura 3'!$B$3:$B$22</c:f>
              <c:numCache>
                <c:formatCode>0</c:formatCode>
                <c:ptCount val="18"/>
                <c:pt idx="0">
                  <c:v>7.9690775506389109</c:v>
                </c:pt>
                <c:pt idx="1">
                  <c:v>8.3967677337445199</c:v>
                </c:pt>
                <c:pt idx="2">
                  <c:v>15.181151597329563</c:v>
                </c:pt>
                <c:pt idx="3">
                  <c:v>31.363636363636363</c:v>
                </c:pt>
                <c:pt idx="4">
                  <c:v>27.391609736604945</c:v>
                </c:pt>
                <c:pt idx="5">
                  <c:v>24.892465346424988</c:v>
                </c:pt>
                <c:pt idx="6">
                  <c:v>30.370405469437472</c:v>
                </c:pt>
                <c:pt idx="7">
                  <c:v>32.930280421919214</c:v>
                </c:pt>
                <c:pt idx="8">
                  <c:v>32.086381150361916</c:v>
                </c:pt>
                <c:pt idx="9">
                  <c:v>62.896340903187728</c:v>
                </c:pt>
                <c:pt idx="10">
                  <c:v>74.827440300063884</c:v>
                </c:pt>
                <c:pt idx="11">
                  <c:v>52.80598600191469</c:v>
                </c:pt>
                <c:pt idx="12">
                  <c:v>78.403316414050835</c:v>
                </c:pt>
                <c:pt idx="13">
                  <c:v>58.123974403151905</c:v>
                </c:pt>
                <c:pt idx="14">
                  <c:v>131.4348476457148</c:v>
                </c:pt>
                <c:pt idx="15">
                  <c:v>377.77777777777749</c:v>
                </c:pt>
                <c:pt idx="16">
                  <c:v>695.81329619579924</c:v>
                </c:pt>
                <c:pt idx="17">
                  <c:v>1001.2854797091253</c:v>
                </c:pt>
              </c:numCache>
            </c:numRef>
          </c:val>
          <c:extLst>
            <c:ext xmlns:c16="http://schemas.microsoft.com/office/drawing/2014/chart" uri="{C3380CC4-5D6E-409C-BE32-E72D297353CC}">
              <c16:uniqueId val="{00000001-B8F5-46DD-BBD9-CF031D2D3E5E}"/>
            </c:ext>
          </c:extLst>
        </c:ser>
        <c:dLbls>
          <c:showLegendKey val="0"/>
          <c:showVal val="0"/>
          <c:showCatName val="0"/>
          <c:showSerName val="0"/>
          <c:showPercent val="0"/>
          <c:showBubbleSize val="0"/>
        </c:dLbls>
        <c:gapWidth val="80"/>
        <c:axId val="-278471616"/>
        <c:axId val="-278468896"/>
      </c:barChart>
      <c:catAx>
        <c:axId val="-278471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50" b="0" i="0" u="none" strike="noStrike" kern="1200" baseline="0">
                <a:solidFill>
                  <a:schemeClr val="tx1">
                    <a:lumMod val="65000"/>
                    <a:lumOff val="35000"/>
                  </a:schemeClr>
                </a:solidFill>
                <a:latin typeface="+mn-lt"/>
                <a:ea typeface="+mn-ea"/>
                <a:cs typeface="+mn-cs"/>
              </a:defRPr>
            </a:pPr>
            <a:endParaRPr lang="es-EC"/>
          </a:p>
        </c:txPr>
        <c:crossAx val="-278468896"/>
        <c:crosses val="autoZero"/>
        <c:auto val="1"/>
        <c:lblAlgn val="ctr"/>
        <c:lblOffset val="100"/>
        <c:noMultiLvlLbl val="0"/>
      </c:catAx>
      <c:valAx>
        <c:axId val="-278468896"/>
        <c:scaling>
          <c:orientation val="minMax"/>
          <c:max val="100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EC"/>
          </a:p>
        </c:txPr>
        <c:crossAx val="-278471616"/>
        <c:crosses val="autoZero"/>
        <c:crossBetween val="between"/>
        <c:majorUnit val="200"/>
        <c:dispUnits>
          <c:builtInUnit val="hundreds"/>
          <c:dispUnitsLbl>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s-EC"/>
              </a:p>
            </c:txPr>
          </c:dispUnitsLbl>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C"/>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es-EC"/>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manualLayout>
          <c:layoutTarget val="inner"/>
          <c:xMode val="edge"/>
          <c:yMode val="edge"/>
          <c:x val="0.44836808749355622"/>
          <c:y val="4.8351648351648353E-2"/>
          <c:w val="0.48063072988790395"/>
          <c:h val="0.77074431080730288"/>
        </c:manualLayout>
      </c:layout>
      <c:barChart>
        <c:barDir val="bar"/>
        <c:grouping val="clustered"/>
        <c:varyColors val="0"/>
        <c:ser>
          <c:idx val="1"/>
          <c:order val="0"/>
          <c:tx>
            <c:strRef>
              <c:f>'Figura 4'!$C$3</c:f>
              <c:strCache>
                <c:ptCount val="1"/>
                <c:pt idx="0">
                  <c:v>Año 2021</c:v>
                </c:pt>
              </c:strCache>
            </c:strRef>
          </c:tx>
          <c:spPr>
            <a:solidFill>
              <a:schemeClr val="accent6">
                <a:shade val="76000"/>
              </a:schemeClr>
            </a:solidFill>
            <a:ln>
              <a:noFill/>
            </a:ln>
            <a:effectLst/>
          </c:spPr>
          <c:invertIfNegative val="0"/>
          <c:cat>
            <c:strRef>
              <c:f>'Figura 4'!$A$4:$A$21</c:f>
              <c:strCache>
                <c:ptCount val="18"/>
                <c:pt idx="0">
                  <c:v>Actividades financieras y de seguros</c:v>
                </c:pt>
                <c:pt idx="1">
                  <c:v>Información y Comunicación</c:v>
                </c:pt>
                <c:pt idx="2">
                  <c:v>Artes, entretenimiento y recreación</c:v>
                </c:pt>
                <c:pt idx="3">
                  <c:v>Transporte y Almacenamiento</c:v>
                </c:pt>
                <c:pt idx="4">
                  <c:v>Actividades inmobiliarias</c:v>
                </c:pt>
                <c:pt idx="5">
                  <c:v>Actividades profesionales, científicas y técnicas</c:v>
                </c:pt>
                <c:pt idx="6">
                  <c:v>Enseñanza</c:v>
                </c:pt>
                <c:pt idx="7">
                  <c:v>Actvidades de servicios administrativos y de apoyo</c:v>
                </c:pt>
                <c:pt idx="8">
                  <c:v>Comercio al por mayor y menor</c:v>
                </c:pt>
                <c:pt idx="9">
                  <c:v>Construcción</c:v>
                </c:pt>
                <c:pt idx="10">
                  <c:v>NACIONAL</c:v>
                </c:pt>
                <c:pt idx="11">
                  <c:v>Otras actividades de servicios</c:v>
                </c:pt>
                <c:pt idx="12">
                  <c:v>Actividades de alojamiento y de servicio de comidas</c:v>
                </c:pt>
                <c:pt idx="13">
                  <c:v>Industria manufacturera</c:v>
                </c:pt>
                <c:pt idx="14">
                  <c:v>Suministro de electricidad, gas, vapor y aire acondicionado</c:v>
                </c:pt>
                <c:pt idx="15">
                  <c:v>Actividades de atención a la salud humana</c:v>
                </c:pt>
                <c:pt idx="16">
                  <c:v>Explotación de minas y canteras</c:v>
                </c:pt>
                <c:pt idx="17">
                  <c:v>Distribución de agua, alcantarillado, gestión de desechos y saneamiento</c:v>
                </c:pt>
              </c:strCache>
            </c:strRef>
          </c:cat>
          <c:val>
            <c:numRef>
              <c:f>'Figura 4'!$C$4:$C$21</c:f>
              <c:numCache>
                <c:formatCode>0.00%</c:formatCode>
                <c:ptCount val="18"/>
                <c:pt idx="0">
                  <c:v>9.8360655737704888E-2</c:v>
                </c:pt>
                <c:pt idx="1">
                  <c:v>0.13644674584696734</c:v>
                </c:pt>
                <c:pt idx="2">
                  <c:v>0.16088493883792043</c:v>
                </c:pt>
                <c:pt idx="3">
                  <c:v>0.17209262694779121</c:v>
                </c:pt>
                <c:pt idx="4">
                  <c:v>0.21352459392740292</c:v>
                </c:pt>
                <c:pt idx="5">
                  <c:v>0.21834847537428856</c:v>
                </c:pt>
                <c:pt idx="6">
                  <c:v>0.22228515455633435</c:v>
                </c:pt>
                <c:pt idx="7">
                  <c:v>0.25033649434581912</c:v>
                </c:pt>
                <c:pt idx="8">
                  <c:v>0.28667258754993374</c:v>
                </c:pt>
                <c:pt idx="9">
                  <c:v>0.3393816116912079</c:v>
                </c:pt>
                <c:pt idx="10">
                  <c:v>0.35838495889755084</c:v>
                </c:pt>
                <c:pt idx="11">
                  <c:v>0.50656661762337951</c:v>
                </c:pt>
                <c:pt idx="12">
                  <c:v>0.50832951413473093</c:v>
                </c:pt>
                <c:pt idx="13">
                  <c:v>0.68202284150259773</c:v>
                </c:pt>
                <c:pt idx="14">
                  <c:v>0.83428571428571441</c:v>
                </c:pt>
                <c:pt idx="15">
                  <c:v>0.84155210218217713</c:v>
                </c:pt>
                <c:pt idx="16">
                  <c:v>0.8510417139540466</c:v>
                </c:pt>
                <c:pt idx="17">
                  <c:v>0.91516104128366471</c:v>
                </c:pt>
              </c:numCache>
            </c:numRef>
          </c:val>
          <c:extLst>
            <c:ext xmlns:c16="http://schemas.microsoft.com/office/drawing/2014/chart" uri="{C3380CC4-5D6E-409C-BE32-E72D297353CC}">
              <c16:uniqueId val="{00000000-1A61-43C6-A77A-ECD0088F77D4}"/>
            </c:ext>
          </c:extLst>
        </c:ser>
        <c:ser>
          <c:idx val="0"/>
          <c:order val="1"/>
          <c:tx>
            <c:strRef>
              <c:f>'Figura 4'!$B$3</c:f>
              <c:strCache>
                <c:ptCount val="1"/>
                <c:pt idx="0">
                  <c:v>Año 2020</c:v>
                </c:pt>
              </c:strCache>
            </c:strRef>
          </c:tx>
          <c:spPr>
            <a:solidFill>
              <a:schemeClr val="accent6">
                <a:tint val="77000"/>
              </a:schemeClr>
            </a:solidFill>
            <a:ln>
              <a:noFill/>
            </a:ln>
            <a:effectLst/>
          </c:spPr>
          <c:invertIfNegative val="0"/>
          <c:cat>
            <c:strRef>
              <c:f>'Figura 4'!$A$4:$A$21</c:f>
              <c:strCache>
                <c:ptCount val="18"/>
                <c:pt idx="0">
                  <c:v>Actividades financieras y de seguros</c:v>
                </c:pt>
                <c:pt idx="1">
                  <c:v>Información y Comunicación</c:v>
                </c:pt>
                <c:pt idx="2">
                  <c:v>Artes, entretenimiento y recreación</c:v>
                </c:pt>
                <c:pt idx="3">
                  <c:v>Transporte y Almacenamiento</c:v>
                </c:pt>
                <c:pt idx="4">
                  <c:v>Actividades inmobiliarias</c:v>
                </c:pt>
                <c:pt idx="5">
                  <c:v>Actividades profesionales, científicas y técnicas</c:v>
                </c:pt>
                <c:pt idx="6">
                  <c:v>Enseñanza</c:v>
                </c:pt>
                <c:pt idx="7">
                  <c:v>Actvidades de servicios administrativos y de apoyo</c:v>
                </c:pt>
                <c:pt idx="8">
                  <c:v>Comercio al por mayor y menor</c:v>
                </c:pt>
                <c:pt idx="9">
                  <c:v>Construcción</c:v>
                </c:pt>
                <c:pt idx="10">
                  <c:v>NACIONAL</c:v>
                </c:pt>
                <c:pt idx="11">
                  <c:v>Otras actividades de servicios</c:v>
                </c:pt>
                <c:pt idx="12">
                  <c:v>Actividades de alojamiento y de servicio de comidas</c:v>
                </c:pt>
                <c:pt idx="13">
                  <c:v>Industria manufacturera</c:v>
                </c:pt>
                <c:pt idx="14">
                  <c:v>Suministro de electricidad, gas, vapor y aire acondicionado</c:v>
                </c:pt>
                <c:pt idx="15">
                  <c:v>Actividades de atención a la salud humana</c:v>
                </c:pt>
                <c:pt idx="16">
                  <c:v>Explotación de minas y canteras</c:v>
                </c:pt>
                <c:pt idx="17">
                  <c:v>Distribución de agua, alcantarillado, gestión de desechos y saneamiento</c:v>
                </c:pt>
              </c:strCache>
            </c:strRef>
          </c:cat>
          <c:val>
            <c:numRef>
              <c:f>'Figura 4'!$B$4:$B$21</c:f>
              <c:numCache>
                <c:formatCode>0.00%</c:formatCode>
                <c:ptCount val="18"/>
                <c:pt idx="0">
                  <c:v>0.21224594803190117</c:v>
                </c:pt>
                <c:pt idx="1">
                  <c:v>0.25826344713275323</c:v>
                </c:pt>
                <c:pt idx="2">
                  <c:v>8.9951376233946667E-2</c:v>
                </c:pt>
                <c:pt idx="3">
                  <c:v>0.29395122600594381</c:v>
                </c:pt>
                <c:pt idx="4">
                  <c:v>0.19622255712226128</c:v>
                </c:pt>
                <c:pt idx="5">
                  <c:v>0.16661083662481779</c:v>
                </c:pt>
                <c:pt idx="6">
                  <c:v>0.33075340147566484</c:v>
                </c:pt>
                <c:pt idx="7">
                  <c:v>0.32276076525731079</c:v>
                </c:pt>
                <c:pt idx="8">
                  <c:v>0.29212664571733765</c:v>
                </c:pt>
                <c:pt idx="9">
                  <c:v>0.5095084807296365</c:v>
                </c:pt>
                <c:pt idx="10">
                  <c:v>0.40611223722221462</c:v>
                </c:pt>
                <c:pt idx="11">
                  <c:v>0.59545454545454546</c:v>
                </c:pt>
                <c:pt idx="12">
                  <c:v>0.47113108351408212</c:v>
                </c:pt>
                <c:pt idx="13">
                  <c:v>0.82617130499214408</c:v>
                </c:pt>
                <c:pt idx="14">
                  <c:v>0.81944444444444409</c:v>
                </c:pt>
                <c:pt idx="15">
                  <c:v>0.92708052351073955</c:v>
                </c:pt>
                <c:pt idx="16">
                  <c:v>0.94020291043246573</c:v>
                </c:pt>
                <c:pt idx="17">
                  <c:v>0.84088956019750194</c:v>
                </c:pt>
              </c:numCache>
            </c:numRef>
          </c:val>
          <c:extLst>
            <c:ext xmlns:c16="http://schemas.microsoft.com/office/drawing/2014/chart" uri="{C3380CC4-5D6E-409C-BE32-E72D297353CC}">
              <c16:uniqueId val="{00000001-1A61-43C6-A77A-ECD0088F77D4}"/>
            </c:ext>
          </c:extLst>
        </c:ser>
        <c:dLbls>
          <c:showLegendKey val="0"/>
          <c:showVal val="0"/>
          <c:showCatName val="0"/>
          <c:showSerName val="0"/>
          <c:showPercent val="0"/>
          <c:showBubbleSize val="0"/>
        </c:dLbls>
        <c:gapWidth val="100"/>
        <c:axId val="-273699344"/>
        <c:axId val="-273712400"/>
      </c:barChart>
      <c:catAx>
        <c:axId val="-2736993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s-EC"/>
          </a:p>
        </c:txPr>
        <c:crossAx val="-273712400"/>
        <c:crosses val="autoZero"/>
        <c:auto val="1"/>
        <c:lblAlgn val="ctr"/>
        <c:lblOffset val="100"/>
        <c:noMultiLvlLbl val="0"/>
      </c:catAx>
      <c:valAx>
        <c:axId val="-273712400"/>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EC"/>
          </a:p>
        </c:txPr>
        <c:crossAx val="-273699344"/>
        <c:crosses val="autoZero"/>
        <c:crossBetween val="between"/>
        <c:majorUnit val="0.2"/>
      </c:valAx>
      <c:spPr>
        <a:noFill/>
        <a:ln>
          <a:noFill/>
        </a:ln>
        <a:effectLst/>
      </c:spPr>
    </c:plotArea>
    <c:legend>
      <c:legendPos val="b"/>
      <c:layout>
        <c:manualLayout>
          <c:xMode val="edge"/>
          <c:yMode val="edge"/>
          <c:x val="0.17173847963964717"/>
          <c:y val="0.92923397336353841"/>
          <c:w val="0.60700905755480827"/>
          <c:h val="5.220454171766812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C"/>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s-EC"/>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manualLayout>
          <c:layoutTarget val="inner"/>
          <c:xMode val="edge"/>
          <c:yMode val="edge"/>
          <c:x val="0.46250735346143351"/>
          <c:y val="4.7993019197207679E-2"/>
          <c:w val="0.45985464910596058"/>
          <c:h val="0.78034897143092719"/>
        </c:manualLayout>
      </c:layout>
      <c:barChart>
        <c:barDir val="bar"/>
        <c:grouping val="clustered"/>
        <c:varyColors val="0"/>
        <c:ser>
          <c:idx val="1"/>
          <c:order val="0"/>
          <c:tx>
            <c:strRef>
              <c:f>'Figura 5'!$C$2</c:f>
              <c:strCache>
                <c:ptCount val="1"/>
                <c:pt idx="0">
                  <c:v>Año 2021</c:v>
                </c:pt>
              </c:strCache>
            </c:strRef>
          </c:tx>
          <c:spPr>
            <a:solidFill>
              <a:schemeClr val="accent6">
                <a:shade val="76000"/>
              </a:schemeClr>
            </a:solidFill>
            <a:ln>
              <a:noFill/>
            </a:ln>
            <a:effectLst/>
          </c:spPr>
          <c:invertIfNegative val="0"/>
          <c:cat>
            <c:strRef>
              <c:f>'Figura 5'!$A$3:$A$22</c:f>
              <c:strCache>
                <c:ptCount val="18"/>
                <c:pt idx="0">
                  <c:v>Actividades inmobiliarias</c:v>
                </c:pt>
                <c:pt idx="1">
                  <c:v>Otras actividades de servicios</c:v>
                </c:pt>
                <c:pt idx="2">
                  <c:v>Actividades financieras y de seguros</c:v>
                </c:pt>
                <c:pt idx="3">
                  <c:v>Comercio al por mayor y menor</c:v>
                </c:pt>
                <c:pt idx="4">
                  <c:v>Artes, entretenimiento y recreación</c:v>
                </c:pt>
                <c:pt idx="5">
                  <c:v>Actividades de alojamiento y de servicio de comidas</c:v>
                </c:pt>
                <c:pt idx="6">
                  <c:v>Actvidades de servicios administrativos y de apoyo</c:v>
                </c:pt>
                <c:pt idx="7">
                  <c:v>Actividades de atención a la salud humana</c:v>
                </c:pt>
                <c:pt idx="8">
                  <c:v>Enseñanza</c:v>
                </c:pt>
                <c:pt idx="9">
                  <c:v>Construcción</c:v>
                </c:pt>
                <c:pt idx="10">
                  <c:v>Actividades profesionales, científicas y técnicas</c:v>
                </c:pt>
                <c:pt idx="11">
                  <c:v>Transporte y Almacenamiento</c:v>
                </c:pt>
                <c:pt idx="12">
                  <c:v>NACIONAL</c:v>
                </c:pt>
                <c:pt idx="13">
                  <c:v>Industria manufacturera</c:v>
                </c:pt>
                <c:pt idx="14">
                  <c:v>Información y Comunicación</c:v>
                </c:pt>
                <c:pt idx="15">
                  <c:v>Explotación de minas y canteras</c:v>
                </c:pt>
                <c:pt idx="16">
                  <c:v>Distribución de agua, alcantarillado, gestión de desechos y saneamiento</c:v>
                </c:pt>
                <c:pt idx="17">
                  <c:v>Suministro de electricidad, gas, vapor y aire acondicionado</c:v>
                </c:pt>
              </c:strCache>
            </c:strRef>
          </c:cat>
          <c:val>
            <c:numRef>
              <c:f>'Figura 5'!$C$3:$C$22</c:f>
              <c:numCache>
                <c:formatCode>0</c:formatCode>
                <c:ptCount val="18"/>
                <c:pt idx="0">
                  <c:v>8545.2878973671868</c:v>
                </c:pt>
                <c:pt idx="1">
                  <c:v>8759.8767339056303</c:v>
                </c:pt>
                <c:pt idx="2">
                  <c:v>9316.4999999999982</c:v>
                </c:pt>
                <c:pt idx="3">
                  <c:v>9687.8175540786524</c:v>
                </c:pt>
                <c:pt idx="4">
                  <c:v>12093.785268785272</c:v>
                </c:pt>
                <c:pt idx="5">
                  <c:v>15741.409911880124</c:v>
                </c:pt>
                <c:pt idx="6">
                  <c:v>19563.774219639017</c:v>
                </c:pt>
                <c:pt idx="7">
                  <c:v>26580.207041420592</c:v>
                </c:pt>
                <c:pt idx="8">
                  <c:v>28187.428701221961</c:v>
                </c:pt>
                <c:pt idx="9">
                  <c:v>29465.339653131658</c:v>
                </c:pt>
                <c:pt idx="10">
                  <c:v>33693.418481751898</c:v>
                </c:pt>
                <c:pt idx="11">
                  <c:v>38645.60618334145</c:v>
                </c:pt>
                <c:pt idx="12">
                  <c:v>45329.977103570171</c:v>
                </c:pt>
                <c:pt idx="13">
                  <c:v>70053.376695737781</c:v>
                </c:pt>
                <c:pt idx="14">
                  <c:v>99747.049155805231</c:v>
                </c:pt>
                <c:pt idx="15">
                  <c:v>228894.6992113626</c:v>
                </c:pt>
                <c:pt idx="16">
                  <c:v>302608.87502124137</c:v>
                </c:pt>
                <c:pt idx="17">
                  <c:v>471188.28864970646</c:v>
                </c:pt>
              </c:numCache>
            </c:numRef>
          </c:val>
          <c:extLst>
            <c:ext xmlns:c16="http://schemas.microsoft.com/office/drawing/2014/chart" uri="{C3380CC4-5D6E-409C-BE32-E72D297353CC}">
              <c16:uniqueId val="{00000000-B85E-4FBE-A97D-25DD6259DEC8}"/>
            </c:ext>
          </c:extLst>
        </c:ser>
        <c:ser>
          <c:idx val="0"/>
          <c:order val="1"/>
          <c:tx>
            <c:strRef>
              <c:f>'Figura 5'!$B$2</c:f>
              <c:strCache>
                <c:ptCount val="1"/>
                <c:pt idx="0">
                  <c:v>Año 2020</c:v>
                </c:pt>
              </c:strCache>
            </c:strRef>
          </c:tx>
          <c:spPr>
            <a:solidFill>
              <a:schemeClr val="accent6">
                <a:tint val="77000"/>
              </a:schemeClr>
            </a:solidFill>
            <a:ln>
              <a:noFill/>
            </a:ln>
            <a:effectLst/>
          </c:spPr>
          <c:invertIfNegative val="0"/>
          <c:cat>
            <c:strRef>
              <c:f>'Figura 5'!$A$3:$A$22</c:f>
              <c:strCache>
                <c:ptCount val="18"/>
                <c:pt idx="0">
                  <c:v>Actividades inmobiliarias</c:v>
                </c:pt>
                <c:pt idx="1">
                  <c:v>Otras actividades de servicios</c:v>
                </c:pt>
                <c:pt idx="2">
                  <c:v>Actividades financieras y de seguros</c:v>
                </c:pt>
                <c:pt idx="3">
                  <c:v>Comercio al por mayor y menor</c:v>
                </c:pt>
                <c:pt idx="4">
                  <c:v>Artes, entretenimiento y recreación</c:v>
                </c:pt>
                <c:pt idx="5">
                  <c:v>Actividades de alojamiento y de servicio de comidas</c:v>
                </c:pt>
                <c:pt idx="6">
                  <c:v>Actvidades de servicios administrativos y de apoyo</c:v>
                </c:pt>
                <c:pt idx="7">
                  <c:v>Actividades de atención a la salud humana</c:v>
                </c:pt>
                <c:pt idx="8">
                  <c:v>Enseñanza</c:v>
                </c:pt>
                <c:pt idx="9">
                  <c:v>Construcción</c:v>
                </c:pt>
                <c:pt idx="10">
                  <c:v>Actividades profesionales, científicas y técnicas</c:v>
                </c:pt>
                <c:pt idx="11">
                  <c:v>Transporte y Almacenamiento</c:v>
                </c:pt>
                <c:pt idx="12">
                  <c:v>NACIONAL</c:v>
                </c:pt>
                <c:pt idx="13">
                  <c:v>Industria manufacturera</c:v>
                </c:pt>
                <c:pt idx="14">
                  <c:v>Información y Comunicación</c:v>
                </c:pt>
                <c:pt idx="15">
                  <c:v>Explotación de minas y canteras</c:v>
                </c:pt>
                <c:pt idx="16">
                  <c:v>Distribución de agua, alcantarillado, gestión de desechos y saneamiento</c:v>
                </c:pt>
                <c:pt idx="17">
                  <c:v>Suministro de electricidad, gas, vapor y aire acondicionado</c:v>
                </c:pt>
              </c:strCache>
            </c:strRef>
          </c:cat>
          <c:val>
            <c:numRef>
              <c:f>'Figura 5'!$B$3:$B$22</c:f>
              <c:numCache>
                <c:formatCode>0</c:formatCode>
                <c:ptCount val="18"/>
                <c:pt idx="0">
                  <c:v>10000.159308983537</c:v>
                </c:pt>
                <c:pt idx="1">
                  <c:v>9108.4580152671751</c:v>
                </c:pt>
                <c:pt idx="2">
                  <c:v>7901.0181818181836</c:v>
                </c:pt>
                <c:pt idx="3">
                  <c:v>6819.0837236509278</c:v>
                </c:pt>
                <c:pt idx="4">
                  <c:v>22716.737479837182</c:v>
                </c:pt>
                <c:pt idx="5">
                  <c:v>18462.968974284435</c:v>
                </c:pt>
                <c:pt idx="6">
                  <c:v>9590.6924327010456</c:v>
                </c:pt>
                <c:pt idx="7">
                  <c:v>21506.428780732746</c:v>
                </c:pt>
                <c:pt idx="8">
                  <c:v>9188.844832705352</c:v>
                </c:pt>
                <c:pt idx="9">
                  <c:v>20870.896127240056</c:v>
                </c:pt>
                <c:pt idx="10">
                  <c:v>108643.6086380966</c:v>
                </c:pt>
                <c:pt idx="11">
                  <c:v>29799.098574345651</c:v>
                </c:pt>
                <c:pt idx="12">
                  <c:v>34875.650117189623</c:v>
                </c:pt>
                <c:pt idx="13">
                  <c:v>40665.422265813308</c:v>
                </c:pt>
                <c:pt idx="14">
                  <c:v>65995.531446159948</c:v>
                </c:pt>
                <c:pt idx="15">
                  <c:v>267692.63584462012</c:v>
                </c:pt>
                <c:pt idx="16">
                  <c:v>227099.79672620585</c:v>
                </c:pt>
                <c:pt idx="17">
                  <c:v>212283.13559322018</c:v>
                </c:pt>
              </c:numCache>
            </c:numRef>
          </c:val>
          <c:extLst>
            <c:ext xmlns:c16="http://schemas.microsoft.com/office/drawing/2014/chart" uri="{C3380CC4-5D6E-409C-BE32-E72D297353CC}">
              <c16:uniqueId val="{00000001-B85E-4FBE-A97D-25DD6259DEC8}"/>
            </c:ext>
          </c:extLst>
        </c:ser>
        <c:dLbls>
          <c:showLegendKey val="0"/>
          <c:showVal val="0"/>
          <c:showCatName val="0"/>
          <c:showSerName val="0"/>
          <c:showPercent val="0"/>
          <c:showBubbleSize val="0"/>
        </c:dLbls>
        <c:gapWidth val="100"/>
        <c:axId val="-278471616"/>
        <c:axId val="-278468896"/>
      </c:barChart>
      <c:catAx>
        <c:axId val="-278471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s-EC"/>
          </a:p>
        </c:txPr>
        <c:crossAx val="-278468896"/>
        <c:crosses val="autoZero"/>
        <c:auto val="1"/>
        <c:lblAlgn val="ctr"/>
        <c:lblOffset val="100"/>
        <c:noMultiLvlLbl val="0"/>
      </c:catAx>
      <c:valAx>
        <c:axId val="-278468896"/>
        <c:scaling>
          <c:orientation val="minMax"/>
          <c:max val="50000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C"/>
          </a:p>
        </c:txPr>
        <c:crossAx val="-278471616"/>
        <c:crosses val="autoZero"/>
        <c:crossBetween val="between"/>
        <c:majorUnit val="100000"/>
        <c:dispUnits>
          <c:builtInUnit val="hundredThousands"/>
          <c:dispUnitsLbl>
            <c:layout>
              <c:manualLayout>
                <c:xMode val="edge"/>
                <c:yMode val="edge"/>
                <c:x val="0.73930720790838234"/>
                <c:y val="0.89078356803848469"/>
              </c:manualLayout>
            </c:layout>
            <c:spPr>
              <a:noFill/>
              <a:ln>
                <a:noFill/>
              </a:ln>
              <a:effectLst/>
            </c:spPr>
            <c:txPr>
              <a:bodyPr rot="0" spcFirstLastPara="1" vertOverflow="ellipsis" vert="horz" wrap="square" anchor="ctr" anchorCtr="1"/>
              <a:lstStyle/>
              <a:p>
                <a:pPr>
                  <a:defRPr sz="750" b="0" i="0" u="none" strike="noStrike" kern="1200" baseline="0">
                    <a:solidFill>
                      <a:schemeClr val="tx1">
                        <a:lumMod val="65000"/>
                        <a:lumOff val="35000"/>
                      </a:schemeClr>
                    </a:solidFill>
                    <a:latin typeface="+mn-lt"/>
                    <a:ea typeface="+mn-ea"/>
                    <a:cs typeface="+mn-cs"/>
                  </a:defRPr>
                </a:pPr>
                <a:endParaRPr lang="es-EC"/>
              </a:p>
            </c:txPr>
          </c:dispUnitsLbl>
        </c:dispUnits>
      </c:valAx>
      <c:spPr>
        <a:noFill/>
        <a:ln>
          <a:noFill/>
        </a:ln>
        <a:effectLst/>
      </c:spPr>
    </c:plotArea>
    <c:legend>
      <c:legendPos val="b"/>
      <c:layout>
        <c:manualLayout>
          <c:xMode val="edge"/>
          <c:yMode val="edge"/>
          <c:x val="0.12593856448303398"/>
          <c:y val="0.90982843440381467"/>
          <c:w val="0.49138305722054321"/>
          <c:h val="6.83565568701818E-2"/>
        </c:manualLayout>
      </c:layout>
      <c:overlay val="0"/>
      <c:spPr>
        <a:noFill/>
        <a:ln>
          <a:noFill/>
        </a:ln>
        <a:effectLst/>
      </c:spPr>
      <c:txPr>
        <a:bodyPr rot="0" spcFirstLastPara="1" vertOverflow="ellipsis" vert="horz" wrap="square" anchor="ctr" anchorCtr="1"/>
        <a:lstStyle/>
        <a:p>
          <a:pPr>
            <a:defRPr sz="850" b="0" i="0" u="none" strike="noStrike" kern="1200" baseline="0">
              <a:solidFill>
                <a:schemeClr val="tx1">
                  <a:lumMod val="65000"/>
                  <a:lumOff val="35000"/>
                </a:schemeClr>
              </a:solidFill>
              <a:latin typeface="+mn-lt"/>
              <a:ea typeface="+mn-ea"/>
              <a:cs typeface="+mn-cs"/>
            </a:defRPr>
          </a:pPr>
          <a:endParaRPr lang="es-EC"/>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600"/>
      </a:pPr>
      <a:endParaRPr lang="es-EC"/>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manualLayout>
          <c:layoutTarget val="inner"/>
          <c:xMode val="edge"/>
          <c:yMode val="edge"/>
          <c:x val="0.46764173733738995"/>
          <c:y val="4.4624746450304259E-2"/>
          <c:w val="0.46243457693590612"/>
          <c:h val="0.82119052562648731"/>
        </c:manualLayout>
      </c:layout>
      <c:barChart>
        <c:barDir val="bar"/>
        <c:grouping val="clustered"/>
        <c:varyColors val="0"/>
        <c:ser>
          <c:idx val="1"/>
          <c:order val="0"/>
          <c:tx>
            <c:strRef>
              <c:f>'Figura 9'!$C$2</c:f>
              <c:strCache>
                <c:ptCount val="1"/>
                <c:pt idx="0">
                  <c:v>Año 2021</c:v>
                </c:pt>
              </c:strCache>
            </c:strRef>
          </c:tx>
          <c:spPr>
            <a:solidFill>
              <a:schemeClr val="accent6">
                <a:shade val="76000"/>
              </a:schemeClr>
            </a:solidFill>
            <a:ln>
              <a:noFill/>
            </a:ln>
            <a:effectLst/>
          </c:spPr>
          <c:invertIfNegative val="0"/>
          <c:cat>
            <c:strRef>
              <c:f>'Figura 9'!$A$3:$A$19</c:f>
              <c:strCache>
                <c:ptCount val="17"/>
                <c:pt idx="0">
                  <c:v>Actividades financieras y de seguros</c:v>
                </c:pt>
                <c:pt idx="1">
                  <c:v>Enseñanza</c:v>
                </c:pt>
                <c:pt idx="2">
                  <c:v>Información y comunicación</c:v>
                </c:pt>
                <c:pt idx="3">
                  <c:v>Actividades de atención de la salud</c:v>
                </c:pt>
                <c:pt idx="4">
                  <c:v>Actividades profesionales, científicas y técnicas</c:v>
                </c:pt>
                <c:pt idx="5">
                  <c:v>Artes, entretenimiento y recreación</c:v>
                </c:pt>
                <c:pt idx="6">
                  <c:v>Actividades inmobiliarias</c:v>
                </c:pt>
                <c:pt idx="7">
                  <c:v>Comercio al por mayor y menor</c:v>
                </c:pt>
                <c:pt idx="8">
                  <c:v>Otras actividades de servicios</c:v>
                </c:pt>
                <c:pt idx="9">
                  <c:v>Actvidades de servicios administrativos y de apoyo</c:v>
                </c:pt>
                <c:pt idx="10">
                  <c:v>Distribución de agua, alcantarillado, gestión de desechos y saneamiento</c:v>
                </c:pt>
                <c:pt idx="11">
                  <c:v>NACIONAL</c:v>
                </c:pt>
                <c:pt idx="12">
                  <c:v>Actividades de alojamiento y servicio de comidas</c:v>
                </c:pt>
                <c:pt idx="13">
                  <c:v>Explotación de Minas y Canteras</c:v>
                </c:pt>
                <c:pt idx="14">
                  <c:v>Construcción</c:v>
                </c:pt>
                <c:pt idx="15">
                  <c:v>Industria manufacturera</c:v>
                </c:pt>
                <c:pt idx="16">
                  <c:v>Transporte y Almacenamiento</c:v>
                </c:pt>
              </c:strCache>
            </c:strRef>
          </c:cat>
          <c:val>
            <c:numRef>
              <c:f>'Figura 9'!$C$3:$C$19</c:f>
              <c:numCache>
                <c:formatCode>#,##0.00</c:formatCode>
                <c:ptCount val="17"/>
                <c:pt idx="0">
                  <c:v>3.459660378025229E-2</c:v>
                </c:pt>
                <c:pt idx="1">
                  <c:v>0.11690669740466038</c:v>
                </c:pt>
                <c:pt idx="2">
                  <c:v>0.12544365911001551</c:v>
                </c:pt>
                <c:pt idx="3">
                  <c:v>0.32956830967784495</c:v>
                </c:pt>
                <c:pt idx="4">
                  <c:v>0.4989821544659121</c:v>
                </c:pt>
                <c:pt idx="5">
                  <c:v>0.60234336769981955</c:v>
                </c:pt>
                <c:pt idx="6">
                  <c:v>0.77077194437974639</c:v>
                </c:pt>
                <c:pt idx="7">
                  <c:v>0.84928960024154743</c:v>
                </c:pt>
                <c:pt idx="8">
                  <c:v>1.0339974349009795</c:v>
                </c:pt>
                <c:pt idx="9">
                  <c:v>1.1511369993628175</c:v>
                </c:pt>
                <c:pt idx="10">
                  <c:v>1.6687132312583361</c:v>
                </c:pt>
                <c:pt idx="11">
                  <c:v>2.7503643545957273</c:v>
                </c:pt>
                <c:pt idx="12">
                  <c:v>3.0166040827610705</c:v>
                </c:pt>
                <c:pt idx="13">
                  <c:v>3.917898358911053</c:v>
                </c:pt>
                <c:pt idx="14">
                  <c:v>4.7767507259510555</c:v>
                </c:pt>
                <c:pt idx="15">
                  <c:v>4.857238328387667</c:v>
                </c:pt>
                <c:pt idx="16">
                  <c:v>6.6756225969047458</c:v>
                </c:pt>
              </c:numCache>
            </c:numRef>
          </c:val>
          <c:extLst>
            <c:ext xmlns:c16="http://schemas.microsoft.com/office/drawing/2014/chart" uri="{C3380CC4-5D6E-409C-BE32-E72D297353CC}">
              <c16:uniqueId val="{00000000-5395-450D-BB65-A37D6ACEB35B}"/>
            </c:ext>
          </c:extLst>
        </c:ser>
        <c:ser>
          <c:idx val="0"/>
          <c:order val="1"/>
          <c:tx>
            <c:strRef>
              <c:f>'Figura 9'!$B$2</c:f>
              <c:strCache>
                <c:ptCount val="1"/>
                <c:pt idx="0">
                  <c:v>Año 2020</c:v>
                </c:pt>
              </c:strCache>
            </c:strRef>
          </c:tx>
          <c:spPr>
            <a:solidFill>
              <a:schemeClr val="accent6">
                <a:tint val="77000"/>
              </a:schemeClr>
            </a:solidFill>
            <a:ln>
              <a:noFill/>
            </a:ln>
            <a:effectLst/>
          </c:spPr>
          <c:invertIfNegative val="0"/>
          <c:cat>
            <c:strRef>
              <c:f>'Figura 9'!$A$3:$A$19</c:f>
              <c:strCache>
                <c:ptCount val="17"/>
                <c:pt idx="0">
                  <c:v>Actividades financieras y de seguros</c:v>
                </c:pt>
                <c:pt idx="1">
                  <c:v>Enseñanza</c:v>
                </c:pt>
                <c:pt idx="2">
                  <c:v>Información y comunicación</c:v>
                </c:pt>
                <c:pt idx="3">
                  <c:v>Actividades de atención de la salud</c:v>
                </c:pt>
                <c:pt idx="4">
                  <c:v>Actividades profesionales, científicas y técnicas</c:v>
                </c:pt>
                <c:pt idx="5">
                  <c:v>Artes, entretenimiento y recreación</c:v>
                </c:pt>
                <c:pt idx="6">
                  <c:v>Actividades inmobiliarias</c:v>
                </c:pt>
                <c:pt idx="7">
                  <c:v>Comercio al por mayor y menor</c:v>
                </c:pt>
                <c:pt idx="8">
                  <c:v>Otras actividades de servicios</c:v>
                </c:pt>
                <c:pt idx="9">
                  <c:v>Actvidades de servicios administrativos y de apoyo</c:v>
                </c:pt>
                <c:pt idx="10">
                  <c:v>Distribución de agua, alcantarillado, gestión de desechos y saneamiento</c:v>
                </c:pt>
                <c:pt idx="11">
                  <c:v>NACIONAL</c:v>
                </c:pt>
                <c:pt idx="12">
                  <c:v>Actividades de alojamiento y servicio de comidas</c:v>
                </c:pt>
                <c:pt idx="13">
                  <c:v>Explotación de Minas y Canteras</c:v>
                </c:pt>
                <c:pt idx="14">
                  <c:v>Construcción</c:v>
                </c:pt>
                <c:pt idx="15">
                  <c:v>Industria manufacturera</c:v>
                </c:pt>
                <c:pt idx="16">
                  <c:v>Transporte y Almacenamiento</c:v>
                </c:pt>
              </c:strCache>
            </c:strRef>
          </c:cat>
          <c:val>
            <c:numRef>
              <c:f>'Figura 9'!$B$3:$B$19</c:f>
              <c:numCache>
                <c:formatCode>#,##0.00</c:formatCode>
                <c:ptCount val="17"/>
                <c:pt idx="0">
                  <c:v>4.2349671351835552E-2</c:v>
                </c:pt>
                <c:pt idx="1">
                  <c:v>0.32504250782439936</c:v>
                </c:pt>
                <c:pt idx="2">
                  <c:v>0.14007020130070577</c:v>
                </c:pt>
                <c:pt idx="3">
                  <c:v>0.47475993668364747</c:v>
                </c:pt>
                <c:pt idx="4">
                  <c:v>0.75286776754142537</c:v>
                </c:pt>
                <c:pt idx="5">
                  <c:v>1.4466981327426589</c:v>
                </c:pt>
                <c:pt idx="6">
                  <c:v>0.85232266578993965</c:v>
                </c:pt>
                <c:pt idx="7">
                  <c:v>1.572028024904992</c:v>
                </c:pt>
                <c:pt idx="8">
                  <c:v>1.1678362546979639</c:v>
                </c:pt>
                <c:pt idx="9">
                  <c:v>2.1259551742339911</c:v>
                </c:pt>
                <c:pt idx="10">
                  <c:v>1.7076701293422101</c:v>
                </c:pt>
                <c:pt idx="11">
                  <c:v>3.2960327363005111</c:v>
                </c:pt>
                <c:pt idx="12">
                  <c:v>1.7974552407057378</c:v>
                </c:pt>
                <c:pt idx="13">
                  <c:v>2.7287276099486002</c:v>
                </c:pt>
                <c:pt idx="14">
                  <c:v>5.2024566207263803</c:v>
                </c:pt>
                <c:pt idx="15">
                  <c:v>6.7166982023383692</c:v>
                </c:pt>
                <c:pt idx="16">
                  <c:v>11.731598098974514</c:v>
                </c:pt>
              </c:numCache>
            </c:numRef>
          </c:val>
          <c:extLst>
            <c:ext xmlns:c16="http://schemas.microsoft.com/office/drawing/2014/chart" uri="{C3380CC4-5D6E-409C-BE32-E72D297353CC}">
              <c16:uniqueId val="{00000001-5395-450D-BB65-A37D6ACEB35B}"/>
            </c:ext>
          </c:extLst>
        </c:ser>
        <c:dLbls>
          <c:showLegendKey val="0"/>
          <c:showVal val="0"/>
          <c:showCatName val="0"/>
          <c:showSerName val="0"/>
          <c:showPercent val="0"/>
          <c:showBubbleSize val="0"/>
        </c:dLbls>
        <c:gapWidth val="100"/>
        <c:axId val="-273701520"/>
        <c:axId val="-273710768"/>
      </c:barChart>
      <c:catAx>
        <c:axId val="-273701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s-EC"/>
          </a:p>
        </c:txPr>
        <c:crossAx val="-273710768"/>
        <c:crosses val="autoZero"/>
        <c:auto val="1"/>
        <c:lblAlgn val="ctr"/>
        <c:lblOffset val="100"/>
        <c:noMultiLvlLbl val="0"/>
      </c:catAx>
      <c:valAx>
        <c:axId val="-273710768"/>
        <c:scaling>
          <c:orientation val="minMax"/>
          <c:max val="12"/>
        </c:scaling>
        <c:delete val="0"/>
        <c:axPos val="b"/>
        <c:majorGridlines>
          <c:spPr>
            <a:ln w="9525" cap="flat" cmpd="sng" algn="ctr">
              <a:solidFill>
                <a:schemeClr val="tx1">
                  <a:lumMod val="15000"/>
                  <a:lumOff val="85000"/>
                </a:schemeClr>
              </a:solidFill>
              <a:round/>
            </a:ln>
            <a:effectLst/>
          </c:spPr>
        </c:majorGridlines>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EC"/>
          </a:p>
        </c:txPr>
        <c:crossAx val="-273701520"/>
        <c:crosses val="autoZero"/>
        <c:crossBetween val="between"/>
      </c:valAx>
      <c:spPr>
        <a:noFill/>
        <a:ln>
          <a:noFill/>
        </a:ln>
        <a:effectLst/>
      </c:spPr>
    </c:plotArea>
    <c:legend>
      <c:legendPos val="b"/>
      <c:layout>
        <c:manualLayout>
          <c:xMode val="edge"/>
          <c:yMode val="edge"/>
          <c:x val="0.22260600608492612"/>
          <c:y val="0.9317816358147929"/>
          <c:w val="0.55097832770903632"/>
          <c:h val="5.3317908721125497E-2"/>
        </c:manualLayout>
      </c:layout>
      <c:overlay val="0"/>
      <c:spPr>
        <a:noFill/>
        <a:ln>
          <a:noFill/>
        </a:ln>
        <a:effectLst/>
      </c:spPr>
      <c:txPr>
        <a:bodyPr rot="0" spcFirstLastPara="1" vertOverflow="ellipsis" vert="horz" wrap="square" anchor="ctr" anchorCtr="1"/>
        <a:lstStyle/>
        <a:p>
          <a:pPr>
            <a:defRPr sz="750" b="0" i="0" u="none" strike="noStrike" kern="1200" baseline="0">
              <a:solidFill>
                <a:schemeClr val="tx1">
                  <a:lumMod val="65000"/>
                  <a:lumOff val="35000"/>
                </a:schemeClr>
              </a:solidFill>
              <a:latin typeface="+mn-lt"/>
              <a:ea typeface="+mn-ea"/>
              <a:cs typeface="+mn-cs"/>
            </a:defRPr>
          </a:pPr>
          <a:endParaRPr lang="es-EC"/>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s-EC"/>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barChart>
        <c:barDir val="bar"/>
        <c:grouping val="clustered"/>
        <c:varyColors val="0"/>
        <c:ser>
          <c:idx val="1"/>
          <c:order val="0"/>
          <c:tx>
            <c:strRef>
              <c:f>'Figura 7'!$C$3</c:f>
              <c:strCache>
                <c:ptCount val="1"/>
                <c:pt idx="0">
                  <c:v>Año 2021</c:v>
                </c:pt>
              </c:strCache>
            </c:strRef>
          </c:tx>
          <c:spPr>
            <a:solidFill>
              <a:schemeClr val="accent6">
                <a:shade val="76000"/>
              </a:schemeClr>
            </a:solidFill>
            <a:ln>
              <a:noFill/>
            </a:ln>
            <a:effectLst/>
          </c:spPr>
          <c:invertIfNegative val="0"/>
          <c:cat>
            <c:strRef>
              <c:f>'Figura 7'!$A$4:$A$9</c:f>
              <c:strCache>
                <c:ptCount val="6"/>
                <c:pt idx="0">
                  <c:v>Otros usos</c:v>
                </c:pt>
                <c:pt idx="1">
                  <c:v>Mantenimiento</c:v>
                </c:pt>
                <c:pt idx="2">
                  <c:v>Calor directo</c:v>
                </c:pt>
                <c:pt idx="3">
                  <c:v>Calderas</c:v>
                </c:pt>
                <c:pt idx="4">
                  <c:v>Transporte</c:v>
                </c:pt>
                <c:pt idx="5">
                  <c:v>Fuerza motriz y frío</c:v>
                </c:pt>
              </c:strCache>
            </c:strRef>
          </c:cat>
          <c:val>
            <c:numRef>
              <c:f>'Figura 7'!$C$4:$C$9</c:f>
              <c:numCache>
                <c:formatCode>0.00%</c:formatCode>
                <c:ptCount val="6"/>
                <c:pt idx="0">
                  <c:v>4.5123548623151582E-5</c:v>
                </c:pt>
                <c:pt idx="1">
                  <c:v>5.0441647156095381E-3</c:v>
                </c:pt>
                <c:pt idx="2">
                  <c:v>4.09709799347414E-2</c:v>
                </c:pt>
                <c:pt idx="3">
                  <c:v>0.14677045132723696</c:v>
                </c:pt>
                <c:pt idx="4">
                  <c:v>0.46534070443497999</c:v>
                </c:pt>
                <c:pt idx="5">
                  <c:v>0.34182857603880923</c:v>
                </c:pt>
              </c:numCache>
            </c:numRef>
          </c:val>
          <c:extLst>
            <c:ext xmlns:c16="http://schemas.microsoft.com/office/drawing/2014/chart" uri="{C3380CC4-5D6E-409C-BE32-E72D297353CC}">
              <c16:uniqueId val="{00000000-A315-48A4-A999-4F119795D3C2}"/>
            </c:ext>
          </c:extLst>
        </c:ser>
        <c:ser>
          <c:idx val="0"/>
          <c:order val="1"/>
          <c:tx>
            <c:strRef>
              <c:f>'Figura 7'!$B$3</c:f>
              <c:strCache>
                <c:ptCount val="1"/>
                <c:pt idx="0">
                  <c:v>Año 2020</c:v>
                </c:pt>
              </c:strCache>
            </c:strRef>
          </c:tx>
          <c:spPr>
            <a:solidFill>
              <a:schemeClr val="accent6">
                <a:tint val="77000"/>
              </a:schemeClr>
            </a:solidFill>
            <a:ln>
              <a:noFill/>
            </a:ln>
            <a:effectLst/>
          </c:spPr>
          <c:invertIfNegative val="0"/>
          <c:cat>
            <c:strRef>
              <c:f>'Figura 7'!$A$4:$A$9</c:f>
              <c:strCache>
                <c:ptCount val="6"/>
                <c:pt idx="0">
                  <c:v>Otros usos</c:v>
                </c:pt>
                <c:pt idx="1">
                  <c:v>Mantenimiento</c:v>
                </c:pt>
                <c:pt idx="2">
                  <c:v>Calor directo</c:v>
                </c:pt>
                <c:pt idx="3">
                  <c:v>Calderas</c:v>
                </c:pt>
                <c:pt idx="4">
                  <c:v>Transporte</c:v>
                </c:pt>
                <c:pt idx="5">
                  <c:v>Fuerza motriz y frío</c:v>
                </c:pt>
              </c:strCache>
            </c:strRef>
          </c:cat>
          <c:val>
            <c:numRef>
              <c:f>'Figura 7'!$B$4:$B$9</c:f>
              <c:numCache>
                <c:formatCode>0.00%</c:formatCode>
                <c:ptCount val="6"/>
                <c:pt idx="0">
                  <c:v>1.6018127639669498E-3</c:v>
                </c:pt>
                <c:pt idx="1">
                  <c:v>5.6217698916593154E-3</c:v>
                </c:pt>
                <c:pt idx="2">
                  <c:v>2.9816267274220581E-2</c:v>
                </c:pt>
                <c:pt idx="3">
                  <c:v>0.12384510445173415</c:v>
                </c:pt>
                <c:pt idx="4">
                  <c:v>0.35832602003414543</c:v>
                </c:pt>
                <c:pt idx="5">
                  <c:v>0.48078902558427522</c:v>
                </c:pt>
              </c:numCache>
            </c:numRef>
          </c:val>
          <c:extLst>
            <c:ext xmlns:c16="http://schemas.microsoft.com/office/drawing/2014/chart" uri="{C3380CC4-5D6E-409C-BE32-E72D297353CC}">
              <c16:uniqueId val="{00000001-A315-48A4-A999-4F119795D3C2}"/>
            </c:ext>
          </c:extLst>
        </c:ser>
        <c:dLbls>
          <c:showLegendKey val="0"/>
          <c:showVal val="0"/>
          <c:showCatName val="0"/>
          <c:showSerName val="0"/>
          <c:showPercent val="0"/>
          <c:showBubbleSize val="0"/>
        </c:dLbls>
        <c:gapWidth val="100"/>
        <c:axId val="-273700432"/>
        <c:axId val="-273708592"/>
      </c:barChart>
      <c:catAx>
        <c:axId val="-2737004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C"/>
          </a:p>
        </c:txPr>
        <c:crossAx val="-273708592"/>
        <c:crosses val="autoZero"/>
        <c:auto val="1"/>
        <c:lblAlgn val="ctr"/>
        <c:lblOffset val="100"/>
        <c:noMultiLvlLbl val="0"/>
      </c:catAx>
      <c:valAx>
        <c:axId val="-273708592"/>
        <c:scaling>
          <c:orientation val="minMax"/>
          <c:max val="0.5"/>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C"/>
          </a:p>
        </c:txPr>
        <c:crossAx val="-273700432"/>
        <c:crosses val="autoZero"/>
        <c:crossBetween val="between"/>
      </c:valAx>
      <c:spPr>
        <a:noFill/>
        <a:ln>
          <a:noFill/>
        </a:ln>
        <a:effectLst/>
      </c:spPr>
    </c:plotArea>
    <c:legend>
      <c:legendPos val="b"/>
      <c:layout>
        <c:manualLayout>
          <c:xMode val="edge"/>
          <c:yMode val="edge"/>
          <c:x val="0.25884470691163602"/>
          <c:y val="0.89409667541557303"/>
          <c:w val="0.55470579530674402"/>
          <c:h val="7.8125546806649168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C"/>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C"/>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manualLayout>
          <c:layoutTarget val="inner"/>
          <c:xMode val="edge"/>
          <c:yMode val="edge"/>
          <c:x val="0.45843547907027088"/>
          <c:y val="3.3716475095785438E-2"/>
          <c:w val="0.49354060123927807"/>
          <c:h val="0.7999847220589964"/>
        </c:manualLayout>
      </c:layout>
      <c:barChart>
        <c:barDir val="bar"/>
        <c:grouping val="clustered"/>
        <c:varyColors val="0"/>
        <c:ser>
          <c:idx val="1"/>
          <c:order val="0"/>
          <c:tx>
            <c:strRef>
              <c:f>'Figura 8'!$C$2</c:f>
              <c:strCache>
                <c:ptCount val="1"/>
                <c:pt idx="0">
                  <c:v>Año 2021</c:v>
                </c:pt>
              </c:strCache>
            </c:strRef>
          </c:tx>
          <c:spPr>
            <a:solidFill>
              <a:schemeClr val="accent6">
                <a:shade val="76000"/>
              </a:schemeClr>
            </a:solidFill>
            <a:ln>
              <a:noFill/>
            </a:ln>
            <a:effectLst/>
          </c:spPr>
          <c:invertIfNegative val="0"/>
          <c:cat>
            <c:strRef>
              <c:f>'Figura 8'!$A$3:$A$20</c:f>
              <c:strCache>
                <c:ptCount val="18"/>
                <c:pt idx="0">
                  <c:v>Actividades financieras y de seguros</c:v>
                </c:pt>
                <c:pt idx="1">
                  <c:v>Enseñanza</c:v>
                </c:pt>
                <c:pt idx="2">
                  <c:v>Información y comunicación</c:v>
                </c:pt>
                <c:pt idx="3">
                  <c:v>Actividades inmobiliarias</c:v>
                </c:pt>
                <c:pt idx="4">
                  <c:v>Actividades de atención de la salud</c:v>
                </c:pt>
                <c:pt idx="5">
                  <c:v>Actividades profesionales, científicas y técnicas</c:v>
                </c:pt>
                <c:pt idx="6">
                  <c:v>Comercio al por mayor y menor</c:v>
                </c:pt>
                <c:pt idx="7">
                  <c:v>Otras actividades de servicios</c:v>
                </c:pt>
                <c:pt idx="8">
                  <c:v>Actvidades de servicios administrativos y de apoyo</c:v>
                </c:pt>
                <c:pt idx="9">
                  <c:v>Actividades de alojamiento y servicio de comidas</c:v>
                </c:pt>
                <c:pt idx="10">
                  <c:v>Distribución de agua, alcantarillado, gestión de desechos y saneamiento</c:v>
                </c:pt>
                <c:pt idx="11">
                  <c:v>Artes, entretenimiento y recreación</c:v>
                </c:pt>
                <c:pt idx="12">
                  <c:v>Explotación de Minas y Canteras</c:v>
                </c:pt>
                <c:pt idx="13">
                  <c:v>NACIONAL</c:v>
                </c:pt>
                <c:pt idx="14">
                  <c:v>Industria manufacturera</c:v>
                </c:pt>
                <c:pt idx="15">
                  <c:v>Construcción</c:v>
                </c:pt>
                <c:pt idx="16">
                  <c:v>Transporte y Almacenamiento</c:v>
                </c:pt>
                <c:pt idx="17">
                  <c:v>Suministro de electricidad, gas, vapor y aire acondicionado</c:v>
                </c:pt>
              </c:strCache>
            </c:strRef>
          </c:cat>
          <c:val>
            <c:numRef>
              <c:f>'Figura 8'!$C$3:$C$20</c:f>
              <c:numCache>
                <c:formatCode>#,##0.00</c:formatCode>
                <c:ptCount val="18"/>
                <c:pt idx="0">
                  <c:v>3.0395336210765401E-3</c:v>
                </c:pt>
                <c:pt idx="1">
                  <c:v>8.4749653014800797E-3</c:v>
                </c:pt>
                <c:pt idx="2">
                  <c:v>1.7228238065363079E-2</c:v>
                </c:pt>
                <c:pt idx="3">
                  <c:v>1.8675995106097545E-2</c:v>
                </c:pt>
                <c:pt idx="4">
                  <c:v>2.2105959969573163E-2</c:v>
                </c:pt>
                <c:pt idx="5">
                  <c:v>3.971765677365488E-2</c:v>
                </c:pt>
                <c:pt idx="6">
                  <c:v>5.4415474368843059E-2</c:v>
                </c:pt>
                <c:pt idx="7">
                  <c:v>7.2030225792435273E-2</c:v>
                </c:pt>
                <c:pt idx="8">
                  <c:v>9.1179944650308098E-2</c:v>
                </c:pt>
                <c:pt idx="9">
                  <c:v>0.10311978077376902</c:v>
                </c:pt>
                <c:pt idx="10">
                  <c:v>0.11997799226530743</c:v>
                </c:pt>
                <c:pt idx="11">
                  <c:v>0.16351964026001359</c:v>
                </c:pt>
                <c:pt idx="12">
                  <c:v>0.20576925674909557</c:v>
                </c:pt>
                <c:pt idx="13">
                  <c:v>0.20610741373317862</c:v>
                </c:pt>
                <c:pt idx="14">
                  <c:v>0.2731536495933532</c:v>
                </c:pt>
                <c:pt idx="15">
                  <c:v>0.32059682541389145</c:v>
                </c:pt>
                <c:pt idx="16">
                  <c:v>0.58553372314815233</c:v>
                </c:pt>
                <c:pt idx="17">
                  <c:v>0.61551276247989695</c:v>
                </c:pt>
              </c:numCache>
            </c:numRef>
          </c:val>
          <c:extLst>
            <c:ext xmlns:c16="http://schemas.microsoft.com/office/drawing/2014/chart" uri="{C3380CC4-5D6E-409C-BE32-E72D297353CC}">
              <c16:uniqueId val="{00000000-3431-474B-ACAE-EBD42C57F595}"/>
            </c:ext>
          </c:extLst>
        </c:ser>
        <c:ser>
          <c:idx val="0"/>
          <c:order val="1"/>
          <c:tx>
            <c:strRef>
              <c:f>'Figura 8'!$B$2</c:f>
              <c:strCache>
                <c:ptCount val="1"/>
                <c:pt idx="0">
                  <c:v>Año 2020</c:v>
                </c:pt>
              </c:strCache>
            </c:strRef>
          </c:tx>
          <c:spPr>
            <a:solidFill>
              <a:schemeClr val="accent6">
                <a:tint val="77000"/>
              </a:schemeClr>
            </a:solidFill>
            <a:ln>
              <a:noFill/>
            </a:ln>
            <a:effectLst/>
          </c:spPr>
          <c:invertIfNegative val="0"/>
          <c:cat>
            <c:strRef>
              <c:f>'Figura 8'!$A$3:$A$20</c:f>
              <c:strCache>
                <c:ptCount val="18"/>
                <c:pt idx="0">
                  <c:v>Actividades financieras y de seguros</c:v>
                </c:pt>
                <c:pt idx="1">
                  <c:v>Enseñanza</c:v>
                </c:pt>
                <c:pt idx="2">
                  <c:v>Información y comunicación</c:v>
                </c:pt>
                <c:pt idx="3">
                  <c:v>Actividades inmobiliarias</c:v>
                </c:pt>
                <c:pt idx="4">
                  <c:v>Actividades de atención de la salud</c:v>
                </c:pt>
                <c:pt idx="5">
                  <c:v>Actividades profesionales, científicas y técnicas</c:v>
                </c:pt>
                <c:pt idx="6">
                  <c:v>Comercio al por mayor y menor</c:v>
                </c:pt>
                <c:pt idx="7">
                  <c:v>Otras actividades de servicios</c:v>
                </c:pt>
                <c:pt idx="8">
                  <c:v>Actvidades de servicios administrativos y de apoyo</c:v>
                </c:pt>
                <c:pt idx="9">
                  <c:v>Actividades de alojamiento y servicio de comidas</c:v>
                </c:pt>
                <c:pt idx="10">
                  <c:v>Distribución de agua, alcantarillado, gestión de desechos y saneamiento</c:v>
                </c:pt>
                <c:pt idx="11">
                  <c:v>Artes, entretenimiento y recreación</c:v>
                </c:pt>
                <c:pt idx="12">
                  <c:v>Explotación de Minas y Canteras</c:v>
                </c:pt>
                <c:pt idx="13">
                  <c:v>NACIONAL</c:v>
                </c:pt>
                <c:pt idx="14">
                  <c:v>Industria manufacturera</c:v>
                </c:pt>
                <c:pt idx="15">
                  <c:v>Construcción</c:v>
                </c:pt>
                <c:pt idx="16">
                  <c:v>Transporte y Almacenamiento</c:v>
                </c:pt>
                <c:pt idx="17">
                  <c:v>Suministro de electricidad, gas, vapor y aire acondicionado</c:v>
                </c:pt>
              </c:strCache>
            </c:strRef>
          </c:cat>
          <c:val>
            <c:numRef>
              <c:f>'Figura 8'!$B$3:$B$20</c:f>
              <c:numCache>
                <c:formatCode>#,##0.00</c:formatCode>
                <c:ptCount val="18"/>
                <c:pt idx="0">
                  <c:v>2.7641457111232531E-3</c:v>
                </c:pt>
                <c:pt idx="1">
                  <c:v>8.9682130869672243E-3</c:v>
                </c:pt>
                <c:pt idx="2">
                  <c:v>6.9939355414217657E-3</c:v>
                </c:pt>
                <c:pt idx="3">
                  <c:v>5.0042825890638007E-2</c:v>
                </c:pt>
                <c:pt idx="4">
                  <c:v>2.4254735542157447E-2</c:v>
                </c:pt>
                <c:pt idx="5">
                  <c:v>5.8884940023120065E-2</c:v>
                </c:pt>
                <c:pt idx="6">
                  <c:v>6.6414231723739933E-2</c:v>
                </c:pt>
                <c:pt idx="7">
                  <c:v>8.1300669772569389E-2</c:v>
                </c:pt>
                <c:pt idx="8">
                  <c:v>9.2260978897966237E-2</c:v>
                </c:pt>
                <c:pt idx="9">
                  <c:v>0.19188505095902339</c:v>
                </c:pt>
                <c:pt idx="10">
                  <c:v>0.10690399771933748</c:v>
                </c:pt>
                <c:pt idx="11">
                  <c:v>5.5585158261960033E-2</c:v>
                </c:pt>
                <c:pt idx="12">
                  <c:v>0.25938319644056329</c:v>
                </c:pt>
                <c:pt idx="13">
                  <c:v>0.25751280236628316</c:v>
                </c:pt>
                <c:pt idx="14">
                  <c:v>0.33408362536352398</c:v>
                </c:pt>
                <c:pt idx="15">
                  <c:v>0.36377223968877836</c:v>
                </c:pt>
                <c:pt idx="16">
                  <c:v>0.4803764076750619</c:v>
                </c:pt>
                <c:pt idx="17">
                  <c:v>1.0420944994383845</c:v>
                </c:pt>
              </c:numCache>
            </c:numRef>
          </c:val>
          <c:extLst>
            <c:ext xmlns:c16="http://schemas.microsoft.com/office/drawing/2014/chart" uri="{C3380CC4-5D6E-409C-BE32-E72D297353CC}">
              <c16:uniqueId val="{00000001-3431-474B-ACAE-EBD42C57F595}"/>
            </c:ext>
          </c:extLst>
        </c:ser>
        <c:dLbls>
          <c:showLegendKey val="0"/>
          <c:showVal val="0"/>
          <c:showCatName val="0"/>
          <c:showSerName val="0"/>
          <c:showPercent val="0"/>
          <c:showBubbleSize val="0"/>
        </c:dLbls>
        <c:gapWidth val="100"/>
        <c:axId val="-273705328"/>
        <c:axId val="-273704784"/>
      </c:barChart>
      <c:catAx>
        <c:axId val="-2737053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EC"/>
          </a:p>
        </c:txPr>
        <c:crossAx val="-273704784"/>
        <c:crosses val="autoZero"/>
        <c:auto val="1"/>
        <c:lblAlgn val="ctr"/>
        <c:lblOffset val="100"/>
        <c:noMultiLvlLbl val="0"/>
      </c:catAx>
      <c:valAx>
        <c:axId val="-273704784"/>
        <c:scaling>
          <c:orientation val="minMax"/>
          <c:max val="1"/>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EC"/>
          </a:p>
        </c:txPr>
        <c:crossAx val="-273705328"/>
        <c:crosses val="autoZero"/>
        <c:crossBetween val="between"/>
        <c:majorUnit val="0.2"/>
      </c:valAx>
      <c:spPr>
        <a:noFill/>
        <a:ln>
          <a:noFill/>
        </a:ln>
        <a:effectLst/>
      </c:spPr>
    </c:plotArea>
    <c:legend>
      <c:legendPos val="b"/>
      <c:layout>
        <c:manualLayout>
          <c:xMode val="edge"/>
          <c:yMode val="edge"/>
          <c:x val="0.25159087463232693"/>
          <c:y val="0.929884827829357"/>
          <c:w val="0.46952512379251565"/>
          <c:h val="5.1724499954747039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C"/>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s-EC"/>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manualLayout>
          <c:layoutTarget val="inner"/>
          <c:xMode val="edge"/>
          <c:yMode val="edge"/>
          <c:x val="0.47948409529681701"/>
          <c:y val="4.633529907329402E-2"/>
          <c:w val="0.47147867748880556"/>
          <c:h val="0.81400307796403293"/>
        </c:manualLayout>
      </c:layout>
      <c:barChart>
        <c:barDir val="bar"/>
        <c:grouping val="clustered"/>
        <c:varyColors val="0"/>
        <c:ser>
          <c:idx val="1"/>
          <c:order val="0"/>
          <c:tx>
            <c:strRef>
              <c:f>'Figura 9'!$C$2</c:f>
              <c:strCache>
                <c:ptCount val="1"/>
                <c:pt idx="0">
                  <c:v>Año 2021</c:v>
                </c:pt>
              </c:strCache>
            </c:strRef>
          </c:tx>
          <c:spPr>
            <a:solidFill>
              <a:schemeClr val="accent6">
                <a:shade val="76000"/>
              </a:schemeClr>
            </a:solidFill>
            <a:ln>
              <a:noFill/>
            </a:ln>
            <a:effectLst/>
          </c:spPr>
          <c:invertIfNegative val="0"/>
          <c:cat>
            <c:strRef>
              <c:f>'Figura 9'!$A$3:$A$19</c:f>
              <c:strCache>
                <c:ptCount val="16"/>
                <c:pt idx="0">
                  <c:v>Información y comunicación</c:v>
                </c:pt>
                <c:pt idx="1">
                  <c:v>Actividades financieras y de seguros</c:v>
                </c:pt>
                <c:pt idx="2">
                  <c:v>Suministro de electricidad, gas, vapor y aire acondicionado</c:v>
                </c:pt>
                <c:pt idx="3">
                  <c:v>Actvidades de servicios administrativos y de apoyo</c:v>
                </c:pt>
                <c:pt idx="4">
                  <c:v>Comercio al por mayor y menor</c:v>
                </c:pt>
                <c:pt idx="5">
                  <c:v>Enseñanza</c:v>
                </c:pt>
                <c:pt idx="6">
                  <c:v>NACIONAL</c:v>
                </c:pt>
                <c:pt idx="7">
                  <c:v>Construcción</c:v>
                </c:pt>
                <c:pt idx="8">
                  <c:v>Actividades de atención de la salud</c:v>
                </c:pt>
                <c:pt idx="9">
                  <c:v>Transporte y Almacenamiento</c:v>
                </c:pt>
                <c:pt idx="10">
                  <c:v>Industria manufacturera</c:v>
                </c:pt>
                <c:pt idx="11">
                  <c:v>Otras actividades de servicios</c:v>
                </c:pt>
                <c:pt idx="12">
                  <c:v>Artes, entretenimiento y recreación</c:v>
                </c:pt>
                <c:pt idx="13">
                  <c:v>Actividades profesionales, científicas y técnicas</c:v>
                </c:pt>
                <c:pt idx="14">
                  <c:v>Actividades de alojamiento y servicio de comidas</c:v>
                </c:pt>
                <c:pt idx="15">
                  <c:v>Actividades inmobiliarias</c:v>
                </c:pt>
              </c:strCache>
            </c:strRef>
          </c:cat>
          <c:val>
            <c:numRef>
              <c:f>'Figura 9'!$C$3:$C$19</c:f>
              <c:numCache>
                <c:formatCode>#,##0.00</c:formatCode>
                <c:ptCount val="16"/>
                <c:pt idx="0">
                  <c:v>0.23801525067502871</c:v>
                </c:pt>
                <c:pt idx="1">
                  <c:v>0.27592689792846087</c:v>
                </c:pt>
                <c:pt idx="2">
                  <c:v>0.76480523100953002</c:v>
                </c:pt>
                <c:pt idx="3">
                  <c:v>1.3832704035618948</c:v>
                </c:pt>
                <c:pt idx="4">
                  <c:v>2.5246449225607499</c:v>
                </c:pt>
                <c:pt idx="5">
                  <c:v>2.5415184095130328</c:v>
                </c:pt>
                <c:pt idx="6">
                  <c:v>2.5485872999468477</c:v>
                </c:pt>
                <c:pt idx="7">
                  <c:v>2.5503533911158991</c:v>
                </c:pt>
                <c:pt idx="8">
                  <c:v>2.7392017055918134</c:v>
                </c:pt>
                <c:pt idx="9">
                  <c:v>3.2325572318887801</c:v>
                </c:pt>
                <c:pt idx="10">
                  <c:v>3.6098107928699927</c:v>
                </c:pt>
                <c:pt idx="11">
                  <c:v>3.7976606897742617</c:v>
                </c:pt>
                <c:pt idx="12">
                  <c:v>4.8508298689564686</c:v>
                </c:pt>
                <c:pt idx="13">
                  <c:v>4.9898380084075118</c:v>
                </c:pt>
                <c:pt idx="14">
                  <c:v>7.1614416828543295</c:v>
                </c:pt>
                <c:pt idx="15">
                  <c:v>8.5166828371734464</c:v>
                </c:pt>
              </c:numCache>
            </c:numRef>
          </c:val>
          <c:extLst>
            <c:ext xmlns:c16="http://schemas.microsoft.com/office/drawing/2014/chart" uri="{C3380CC4-5D6E-409C-BE32-E72D297353CC}">
              <c16:uniqueId val="{00000000-A3BA-4121-9BC7-080D5FCBA103}"/>
            </c:ext>
          </c:extLst>
        </c:ser>
        <c:ser>
          <c:idx val="0"/>
          <c:order val="1"/>
          <c:tx>
            <c:strRef>
              <c:f>'Figura 9'!$B$2</c:f>
              <c:strCache>
                <c:ptCount val="1"/>
                <c:pt idx="0">
                  <c:v>Año 2020</c:v>
                </c:pt>
              </c:strCache>
            </c:strRef>
          </c:tx>
          <c:spPr>
            <a:solidFill>
              <a:schemeClr val="accent6">
                <a:tint val="77000"/>
              </a:schemeClr>
            </a:solidFill>
            <a:ln>
              <a:noFill/>
            </a:ln>
            <a:effectLst/>
          </c:spPr>
          <c:invertIfNegative val="0"/>
          <c:cat>
            <c:strRef>
              <c:f>'Figura 9'!$A$3:$A$19</c:f>
              <c:strCache>
                <c:ptCount val="16"/>
                <c:pt idx="0">
                  <c:v>Información y comunicación</c:v>
                </c:pt>
                <c:pt idx="1">
                  <c:v>Actividades financieras y de seguros</c:v>
                </c:pt>
                <c:pt idx="2">
                  <c:v>Suministro de electricidad, gas, vapor y aire acondicionado</c:v>
                </c:pt>
                <c:pt idx="3">
                  <c:v>Actvidades de servicios administrativos y de apoyo</c:v>
                </c:pt>
                <c:pt idx="4">
                  <c:v>Comercio al por mayor y menor</c:v>
                </c:pt>
                <c:pt idx="5">
                  <c:v>Enseñanza</c:v>
                </c:pt>
                <c:pt idx="6">
                  <c:v>NACIONAL</c:v>
                </c:pt>
                <c:pt idx="7">
                  <c:v>Construcción</c:v>
                </c:pt>
                <c:pt idx="8">
                  <c:v>Actividades de atención de la salud</c:v>
                </c:pt>
                <c:pt idx="9">
                  <c:v>Transporte y Almacenamiento</c:v>
                </c:pt>
                <c:pt idx="10">
                  <c:v>Industria manufacturera</c:v>
                </c:pt>
                <c:pt idx="11">
                  <c:v>Otras actividades de servicios</c:v>
                </c:pt>
                <c:pt idx="12">
                  <c:v>Artes, entretenimiento y recreación</c:v>
                </c:pt>
                <c:pt idx="13">
                  <c:v>Actividades profesionales, científicas y técnicas</c:v>
                </c:pt>
                <c:pt idx="14">
                  <c:v>Actividades de alojamiento y servicio de comidas</c:v>
                </c:pt>
                <c:pt idx="15">
                  <c:v>Actividades inmobiliarias</c:v>
                </c:pt>
              </c:strCache>
            </c:strRef>
          </c:cat>
          <c:val>
            <c:numRef>
              <c:f>'Figura 9'!$B$3:$B$19</c:f>
              <c:numCache>
                <c:formatCode>#,##0.00</c:formatCode>
                <c:ptCount val="16"/>
                <c:pt idx="0">
                  <c:v>0.28144602929778989</c:v>
                </c:pt>
                <c:pt idx="1">
                  <c:v>0.26164416787336575</c:v>
                </c:pt>
                <c:pt idx="2">
                  <c:v>0.71752335657788269</c:v>
                </c:pt>
                <c:pt idx="3">
                  <c:v>1.3294690061354502</c:v>
                </c:pt>
                <c:pt idx="4">
                  <c:v>2.1914048784250593</c:v>
                </c:pt>
                <c:pt idx="5">
                  <c:v>2.8605772666909348</c:v>
                </c:pt>
                <c:pt idx="6">
                  <c:v>2.3467701158216907</c:v>
                </c:pt>
                <c:pt idx="7">
                  <c:v>3.7954916921738659</c:v>
                </c:pt>
                <c:pt idx="8">
                  <c:v>3.1093111427503479</c:v>
                </c:pt>
                <c:pt idx="9">
                  <c:v>6.982120699510193</c:v>
                </c:pt>
                <c:pt idx="10">
                  <c:v>4.4012983166792061</c:v>
                </c:pt>
                <c:pt idx="11">
                  <c:v>4.0967473077972549</c:v>
                </c:pt>
                <c:pt idx="12">
                  <c:v>4.1811255642473562</c:v>
                </c:pt>
                <c:pt idx="13">
                  <c:v>1.3273983083398644</c:v>
                </c:pt>
                <c:pt idx="14">
                  <c:v>8.7704029097724341</c:v>
                </c:pt>
                <c:pt idx="15">
                  <c:v>15.633410953002233</c:v>
                </c:pt>
              </c:numCache>
            </c:numRef>
          </c:val>
          <c:extLst>
            <c:ext xmlns:c16="http://schemas.microsoft.com/office/drawing/2014/chart" uri="{C3380CC4-5D6E-409C-BE32-E72D297353CC}">
              <c16:uniqueId val="{00000001-A3BA-4121-9BC7-080D5FCBA103}"/>
            </c:ext>
          </c:extLst>
        </c:ser>
        <c:dLbls>
          <c:showLegendKey val="0"/>
          <c:showVal val="0"/>
          <c:showCatName val="0"/>
          <c:showSerName val="0"/>
          <c:showPercent val="0"/>
          <c:showBubbleSize val="0"/>
        </c:dLbls>
        <c:gapWidth val="100"/>
        <c:axId val="-273698256"/>
        <c:axId val="-187165824"/>
      </c:barChart>
      <c:catAx>
        <c:axId val="-2736982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EC"/>
          </a:p>
        </c:txPr>
        <c:crossAx val="-187165824"/>
        <c:crosses val="autoZero"/>
        <c:auto val="1"/>
        <c:lblAlgn val="ctr"/>
        <c:lblOffset val="100"/>
        <c:noMultiLvlLbl val="0"/>
      </c:catAx>
      <c:valAx>
        <c:axId val="-187165824"/>
        <c:scaling>
          <c:orientation val="minMax"/>
          <c:max val="16"/>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EC"/>
          </a:p>
        </c:txPr>
        <c:crossAx val="-273698256"/>
        <c:crosses val="autoZero"/>
        <c:crossBetween val="between"/>
        <c:majorUnit val="2"/>
        <c:minorUnit val="0.5"/>
      </c:valAx>
      <c:spPr>
        <a:noFill/>
        <a:ln>
          <a:noFill/>
        </a:ln>
        <a:effectLst/>
      </c:spPr>
    </c:plotArea>
    <c:legend>
      <c:legendPos val="b"/>
      <c:layout>
        <c:manualLayout>
          <c:xMode val="edge"/>
          <c:yMode val="edge"/>
          <c:x val="0.1530431905180907"/>
          <c:y val="0.93780226246106091"/>
          <c:w val="0.70155419684287312"/>
          <c:h val="5.0279675622261252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C"/>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s-EC"/>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pieChart>
        <c:varyColors val="1"/>
        <c:ser>
          <c:idx val="1"/>
          <c:order val="0"/>
          <c:dPt>
            <c:idx val="0"/>
            <c:bubble3D val="0"/>
            <c:spPr>
              <a:solidFill>
                <a:schemeClr val="accent6">
                  <a:tint val="54000"/>
                </a:schemeClr>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272D-4137-9660-9E13DDDE4F58}"/>
              </c:ext>
            </c:extLst>
          </c:dPt>
          <c:dPt>
            <c:idx val="1"/>
            <c:bubble3D val="0"/>
            <c:spPr>
              <a:solidFill>
                <a:schemeClr val="accent6">
                  <a:tint val="77000"/>
                </a:schemeClr>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272D-4137-9660-9E13DDDE4F58}"/>
              </c:ext>
            </c:extLst>
          </c:dPt>
          <c:dPt>
            <c:idx val="2"/>
            <c:bubble3D val="0"/>
            <c:spPr>
              <a:solidFill>
                <a:schemeClr val="accent6"/>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272D-4137-9660-9E13DDDE4F58}"/>
              </c:ext>
            </c:extLst>
          </c:dPt>
          <c:dPt>
            <c:idx val="3"/>
            <c:bubble3D val="0"/>
            <c:spPr>
              <a:solidFill>
                <a:schemeClr val="accent6">
                  <a:shade val="76000"/>
                </a:schemeClr>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272D-4137-9660-9E13DDDE4F58}"/>
              </c:ext>
            </c:extLst>
          </c:dPt>
          <c:dPt>
            <c:idx val="4"/>
            <c:bubble3D val="0"/>
            <c:spPr>
              <a:solidFill>
                <a:schemeClr val="accent6">
                  <a:shade val="53000"/>
                </a:schemeClr>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9-272D-4137-9660-9E13DDDE4F58}"/>
              </c:ext>
            </c:extLst>
          </c:dPt>
          <c:dLbls>
            <c:dLbl>
              <c:idx val="1"/>
              <c:layout>
                <c:manualLayout>
                  <c:x val="7.2946741734305029E-2"/>
                  <c:y val="-6.2755935035679593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72D-4137-9660-9E13DDDE4F58}"/>
                </c:ext>
              </c:extLst>
            </c:dLbl>
            <c:dLbl>
              <c:idx val="2"/>
              <c:layout>
                <c:manualLayout>
                  <c:x val="7.4257123507828524E-2"/>
                  <c:y val="6.6785352618324287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72D-4137-9660-9E13DDDE4F58}"/>
                </c:ext>
              </c:extLst>
            </c:dLbl>
            <c:dLbl>
              <c:idx val="3"/>
              <c:layout>
                <c:manualLayout>
                  <c:x val="0.10135182396167103"/>
                  <c:y val="9.8966369361310147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72D-4137-9660-9E13DDDE4F58}"/>
                </c:ext>
              </c:extLst>
            </c:dLbl>
            <c:dLbl>
              <c:idx val="4"/>
              <c:layout>
                <c:manualLayout>
                  <c:x val="9.9827560065903181E-2"/>
                  <c:y val="0.1175829399277846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72D-4137-9660-9E13DDDE4F58}"/>
                </c:ext>
              </c:extLst>
            </c:dLbl>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700" b="1" i="0" u="none" strike="noStrike" kern="1200" baseline="0">
                    <a:solidFill>
                      <a:schemeClr val="lt1"/>
                    </a:solidFill>
                    <a:latin typeface="+mn-lt"/>
                    <a:ea typeface="+mn-ea"/>
                    <a:cs typeface="+mn-cs"/>
                  </a:defRPr>
                </a:pPr>
                <a:endParaRPr lang="es-EC"/>
              </a:p>
            </c:txPr>
            <c:dLblPos val="ctr"/>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'Figuras 16-17-18'!$B$25:$B$29</c:f>
              <c:strCache>
                <c:ptCount val="5"/>
                <c:pt idx="0">
                  <c:v>Industria manufacturera</c:v>
                </c:pt>
                <c:pt idx="1">
                  <c:v>Explotación de Minas y Canteras</c:v>
                </c:pt>
                <c:pt idx="2">
                  <c:v>Comercio al por mayor y menor</c:v>
                </c:pt>
                <c:pt idx="3">
                  <c:v>Actividades de atención de la salud</c:v>
                </c:pt>
                <c:pt idx="4">
                  <c:v>Otras actividades</c:v>
                </c:pt>
              </c:strCache>
            </c:strRef>
          </c:cat>
          <c:val>
            <c:numRef>
              <c:f>'Figuras 16-17-18'!$D$25:$D$29</c:f>
              <c:numCache>
                <c:formatCode>###0.0%</c:formatCode>
                <c:ptCount val="5"/>
                <c:pt idx="0">
                  <c:v>0.70913701493830583</c:v>
                </c:pt>
                <c:pt idx="1">
                  <c:v>7.3659436849414645E-2</c:v>
                </c:pt>
                <c:pt idx="2">
                  <c:v>7.0245950473541693E-2</c:v>
                </c:pt>
                <c:pt idx="3">
                  <c:v>4.6446728676436518E-2</c:v>
                </c:pt>
                <c:pt idx="4">
                  <c:v>0.10051086906230133</c:v>
                </c:pt>
              </c:numCache>
            </c:numRef>
          </c:val>
          <c:extLst>
            <c:ext xmlns:c16="http://schemas.microsoft.com/office/drawing/2014/chart" uri="{C3380CC4-5D6E-409C-BE32-E72D297353CC}">
              <c16:uniqueId val="{0000000A-272D-4137-9660-9E13DDDE4F58}"/>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layout>
        <c:manualLayout>
          <c:xMode val="edge"/>
          <c:yMode val="edge"/>
          <c:x val="0.64692751660214487"/>
          <c:y val="9.2821271356828425E-2"/>
          <c:w val="0.32226375425793213"/>
          <c:h val="0.85935124251200878"/>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650" b="0" i="0" u="none" strike="noStrike" kern="1200" baseline="0">
              <a:solidFill>
                <a:schemeClr val="dk1">
                  <a:lumMod val="75000"/>
                  <a:lumOff val="25000"/>
                </a:schemeClr>
              </a:solidFill>
              <a:latin typeface="+mn-lt"/>
              <a:ea typeface="+mn-ea"/>
              <a:cs typeface="+mn-cs"/>
            </a:defRPr>
          </a:pPr>
          <a:endParaRPr lang="es-EC"/>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sz="700"/>
      </a:pPr>
      <a:endParaRPr lang="es-EC"/>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withinLinearReversed" id="26">
  <a:schemeClr val="accent6"/>
</cs:colorStyle>
</file>

<file path=word/charts/colors11.xml><?xml version="1.0" encoding="utf-8"?>
<cs:colorStyle xmlns:cs="http://schemas.microsoft.com/office/drawing/2012/chartStyle" xmlns:a="http://schemas.openxmlformats.org/drawingml/2006/main" meth="withinLinearReversed" id="26">
  <a:schemeClr val="accent6"/>
</cs:colorStyle>
</file>

<file path=word/charts/colors2.xml><?xml version="1.0" encoding="utf-8"?>
<cs:colorStyle xmlns:cs="http://schemas.microsoft.com/office/drawing/2012/chartStyle" xmlns:a="http://schemas.openxmlformats.org/drawingml/2006/main" meth="withinLinearReversed" id="26">
  <a:schemeClr val="accent6"/>
</cs:colorStyle>
</file>

<file path=word/charts/colors3.xml><?xml version="1.0" encoding="utf-8"?>
<cs:colorStyle xmlns:cs="http://schemas.microsoft.com/office/drawing/2012/chartStyle" xmlns:a="http://schemas.openxmlformats.org/drawingml/2006/main" meth="withinLinearReversed" id="26">
  <a:schemeClr val="accent6"/>
</cs:colorStyle>
</file>

<file path=word/charts/colors4.xml><?xml version="1.0" encoding="utf-8"?>
<cs:colorStyle xmlns:cs="http://schemas.microsoft.com/office/drawing/2012/chartStyle" xmlns:a="http://schemas.openxmlformats.org/drawingml/2006/main" meth="withinLinearReversed" id="26">
  <a:schemeClr val="accent6"/>
</cs:colorStyle>
</file>

<file path=word/charts/colors5.xml><?xml version="1.0" encoding="utf-8"?>
<cs:colorStyle xmlns:cs="http://schemas.microsoft.com/office/drawing/2012/chartStyle" xmlns:a="http://schemas.openxmlformats.org/drawingml/2006/main" meth="withinLinearReversed" id="26">
  <a:schemeClr val="accent6"/>
</cs:colorStyle>
</file>

<file path=word/charts/colors6.xml><?xml version="1.0" encoding="utf-8"?>
<cs:colorStyle xmlns:cs="http://schemas.microsoft.com/office/drawing/2012/chartStyle" xmlns:a="http://schemas.openxmlformats.org/drawingml/2006/main" meth="withinLinearReversed" id="26">
  <a:schemeClr val="accent6"/>
</cs:colorStyle>
</file>

<file path=word/charts/colors7.xml><?xml version="1.0" encoding="utf-8"?>
<cs:colorStyle xmlns:cs="http://schemas.microsoft.com/office/drawing/2012/chartStyle" xmlns:a="http://schemas.openxmlformats.org/drawingml/2006/main" meth="withinLinearReversed" id="26">
  <a:schemeClr val="accent6"/>
</cs:colorStyle>
</file>

<file path=word/charts/colors8.xml><?xml version="1.0" encoding="utf-8"?>
<cs:colorStyle xmlns:cs="http://schemas.microsoft.com/office/drawing/2012/chartStyle" xmlns:a="http://schemas.openxmlformats.org/drawingml/2006/main" meth="withinLinearReversed" id="26">
  <a:schemeClr val="accent6"/>
</cs:colorStyle>
</file>

<file path=word/charts/colors9.xml><?xml version="1.0" encoding="utf-8"?>
<cs:colorStyle xmlns:cs="http://schemas.microsoft.com/office/drawing/2012/chartStyle" xmlns:a="http://schemas.openxmlformats.org/drawingml/2006/main" meth="withinLinearReversed" id="26">
  <a:schemeClr val="accent6"/>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1.xml><?xml version="1.0" encoding="utf-8"?>
<cs:chartStyle xmlns:cs="http://schemas.microsoft.com/office/drawing/2012/chartStyle" xmlns:a="http://schemas.openxmlformats.org/drawingml/2006/main" id="21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UNE14</b:Tag>
    <b:SourceType>Report</b:SourceType>
    <b:Guid>{07ADDE03-ED2B-4A85-88CB-869210CDFC90}</b:Guid>
    <b:Author>
      <b:Author>
        <b:Corporate>UNEP</b:Corporate>
      </b:Author>
    </b:Author>
    <b:Title>Using indicators for Green Economy Policymaking (Working Paper)</b:Title>
    <b:Year>2014</b:Year>
    <b:Publisher>UNEP</b:Publisher>
    <b:URL>https://wedocs.unep.org/bitstream/handle/20.500.11822/9532/-Using%20indicators%20for%20Green%20Economy%20policymaking-2014IndicatorsWorkingPaper.pdf</b:URL>
    <b:YearAccessed>2019</b:YearAccessed>
    <b:MonthAccessed>Mayo</b:MonthAccessed>
    <b:DayAccessed>01</b:DayAccessed>
    <b:RefOrder>1</b:RefOrder>
  </b:Source>
  <b:Source>
    <b:Tag>Cer17</b:Tag>
    <b:SourceType>Book</b:SourceType>
    <b:Guid>{73358C88-D3C2-4D6A-B208-BAB848F4D9D8}</b:Guid>
    <b:Author>
      <b:Author>
        <b:NameList>
          <b:Person>
            <b:Last>Cervera-Ferri</b:Last>
            <b:First>José</b:First>
          </b:Person>
          <b:Person>
            <b:Last>Ureña</b:Last>
            <b:First>Mónica</b:First>
          </b:Person>
        </b:NameList>
      </b:Author>
    </b:Author>
    <b:Title>Indicadores de Producción Verde: Una guía para avanzar hacia el desarrollo sostenible</b:Title>
    <b:Year>2017</b:Year>
    <b:City>Santiago</b:City>
    <b:Publisher>Naciones Unidas</b:Publisher>
    <b:YearAccessed>2019</b:YearAccessed>
    <b:MonthAccessed>mayo</b:MonthAccessed>
    <b:DayAccessed>01</b:DayAccessed>
    <b:URL>https://repositorio.cepal.org/bitstream/handle/11362/40967/4/S1700065_es.pdf</b:URL>
    <b:RefOrder>2</b:RefOrder>
  </b:Source>
  <b:Source>
    <b:Tag>Ram19</b:Tag>
    <b:SourceType>ArticleInAPeriodical</b:SourceType>
    <b:Guid>{A8DB5C26-1F18-4B83-B93E-75315D752A74}</b:Guid>
    <b:Author>
      <b:Author>
        <b:NameList>
          <b:Person>
            <b:Last>Ramos</b:Last>
            <b:First>Javier</b:First>
          </b:Person>
        </b:NameList>
      </b:Author>
    </b:Author>
    <b:Title>Las certififcaciones ISO en el Perú</b:Title>
    <b:Year>2019</b:Year>
    <b:Publisher>Perú</b:Publisher>
    <b:City>Lima</b:City>
    <b:YearAccessed>2019</b:YearAccessed>
    <b:MonthAccessed>mayo</b:MonthAccessed>
    <b:DayAccessed>01</b:DayAccessed>
    <b:URL>https://elperuano.pe/noticia-las-certificaciones-iso-el-peru-74495.aspx</b:URL>
    <b:PeriodicalTitle>El Peruano</b:PeriodicalTitle>
    <b:Month>enero</b:Month>
    <b:Day>06</b:Day>
    <b:RefOrder>5</b:RefOrder>
  </b:Source>
  <b:Source>
    <b:Tag>ORy15</b:Tag>
    <b:SourceType>Report</b:SourceType>
    <b:Guid>{2114EF63-F405-432E-BB8F-2925F5F98A2D}</b:Guid>
    <b:Author>
      <b:Author>
        <b:NameList>
          <b:Person>
            <b:Last>O' Ryan</b:Last>
            <b:First>R.</b:First>
          </b:Person>
        </b:NameList>
      </b:Author>
    </b:Author>
    <b:Title>Revisión y análisis del modelo de promoción de políticas de producción sostenible y adopción de tecnologías verdes en empresas</b:Title>
    <b:Year>2015</b:Year>
    <b:Comments>Informe realizado dentro del proyecto "Hacia un conjunto de indicadores para una producción más verde"</b:Comments>
    <b:RefOrder>6</b:RefOrder>
  </b:Source>
  <b:Source>
    <b:Tag>DAN151</b:Tag>
    <b:SourceType>Report</b:SourceType>
    <b:Guid>{9539E4FF-CB06-48D5-B5FF-5C0C750D85DD}</b:Guid>
    <b:Author>
      <b:Author>
        <b:Corporate>DANE</b:Corporate>
      </b:Author>
    </b:Author>
    <b:Title>Boletín Técnico (DANE), Cuenta Ambiental y Económica de Flujos de Materiales - Residuos Sólidos 2012 – 2014</b:Title>
    <b:Year>2015</b:Year>
    <b:City>Bogotá</b:City>
    <b:URL>http://www.dane.gov.co/files/investigaciones/pib/ambientales/cuentas_ambientales/cuentas-residuos/BT-Cuenta-residuos-2014p.pdf</b:URL>
    <b:RefOrder>7</b:RefOrder>
  </b:Source>
  <b:Source>
    <b:Tag>DANEb18</b:Tag>
    <b:SourceType>Report</b:SourceType>
    <b:Guid>{96BDCF5D-7831-4465-9B23-F55C80219015}</b:Guid>
    <b:Author>
      <b:Author>
        <b:Corporate>DANE</b:Corporate>
      </b:Author>
    </b:Author>
    <b:Title>Boletín Técnico: Cuenta ambiental y económica de flujos de agua (2017-2018p)</b:Title>
    <b:Year>2018</b:Year>
    <b:City>Bogotá</b:City>
    <b:YearAccessed>2019</b:YearAccessed>
    <b:MonthAccessed>mayo</b:MonthAccessed>
    <b:DayAccessed>01</b:DayAccessed>
    <b:URL>https://www.dane.gov.co/files/investigaciones/pib/ambientales/cuentas_ambientales/cuenta-del-agua/Boletin-tecnico-cuenta-ambiental-y-economica-del-agua-2015p.pdf</b:URL>
    <b:RefOrder>8</b:RefOrder>
  </b:Source>
  <b:Source>
    <b:Tag>MINE22</b:Tag>
    <b:SourceType>Book</b:SourceType>
    <b:Guid>{20019876-F316-4698-8F3B-705597D7F2ED}</b:Guid>
    <b:Author>
      <b:Author>
        <b:Corporate>Ministerio de Energía y Minas</b:Corporate>
      </b:Author>
    </b:Author>
    <b:Title>Balance Energético Nacional 2021</b:Title>
    <b:Year>2022</b:Year>
    <b:City>Quito</b:City>
    <b:RefOrder>4</b:RefOrder>
  </b:Source>
  <b:Source>
    <b:Tag>DEC23</b:Tag>
    <b:SourceType>Report</b:SourceType>
    <b:Guid>{6D692942-51B2-4630-AE4F-AA321D61474C}</b:Guid>
    <b:Author>
      <b:Author>
        <b:Corporate>INEC</b:Corporate>
      </b:Author>
    </b:Author>
    <b:Title>Metodología de la ENESEM 2021</b:Title>
    <b:Year>2023</b:Year>
    <b:City>Quito</b:City>
    <b:YearAccessed>2019</b:YearAccessed>
    <b:MonthAccessed>Mayo</b:MonthAccessed>
    <b:DayAccessed>01</b:DayAccessed>
    <b:URL>http://www.ecuadorencifras.gob.ec/documentos/web-inec/Estadisticas_Economicas/Encuesta_Estructural_Empresarial/2017/2017_ENESEM_Metodologia.pdf</b:URL>
    <b:Department>Dirección de Estadísticas Económicas - DECON</b:Department>
    <b:Institution>INEC</b:Institution>
    <b:RefOrder>3</b:RefOrder>
  </b:Source>
</b:Sources>
</file>

<file path=customXml/itemProps1.xml><?xml version="1.0" encoding="utf-8"?>
<ds:datastoreItem xmlns:ds="http://schemas.openxmlformats.org/officeDocument/2006/customXml" ds:itemID="{E68FD41A-BD8E-4672-AC66-71B0DAABB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1482</TotalTime>
  <Pages>27</Pages>
  <Words>10160</Words>
  <Characters>55884</Characters>
  <Application>Microsoft Office Word</Application>
  <DocSecurity>0</DocSecurity>
  <Lines>465</Lines>
  <Paragraphs>131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INEC Ramiro Benavides</dc:creator>
  <cp:keywords/>
  <dc:description/>
  <cp:lastModifiedBy>Lenovo</cp:lastModifiedBy>
  <cp:revision>11</cp:revision>
  <dcterms:created xsi:type="dcterms:W3CDTF">2023-04-18T20:09:00Z</dcterms:created>
  <dcterms:modified xsi:type="dcterms:W3CDTF">2023-04-21T17:32:00Z</dcterms:modified>
</cp:coreProperties>
</file>